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3FDB" w:rsidRDefault="006A44E3">
      <w:pPr>
        <w:pStyle w:val="Title"/>
        <w:spacing w:line="235" w:lineRule="auto"/>
      </w:pPr>
      <w:r>
        <w:t>The</w:t>
      </w:r>
      <w:r>
        <w:rPr>
          <w:spacing w:val="-5"/>
        </w:rPr>
        <w:t xml:space="preserve"> </w:t>
      </w:r>
      <w:r>
        <w:t>Legal</w:t>
      </w:r>
      <w:r>
        <w:rPr>
          <w:spacing w:val="-24"/>
        </w:rPr>
        <w:t xml:space="preserve"> </w:t>
      </w:r>
      <w:r>
        <w:t>Framework</w:t>
      </w:r>
      <w:r>
        <w:rPr>
          <w:spacing w:val="-18"/>
        </w:rPr>
        <w:t xml:space="preserve"> </w:t>
      </w:r>
      <w:r>
        <w:t>and</w:t>
      </w:r>
      <w:r>
        <w:rPr>
          <w:spacing w:val="-14"/>
        </w:rPr>
        <w:t xml:space="preserve"> </w:t>
      </w:r>
      <w:r>
        <w:t>Commitment in</w:t>
      </w:r>
      <w:r>
        <w:rPr>
          <w:spacing w:val="-2"/>
        </w:rPr>
        <w:t xml:space="preserve"> </w:t>
      </w:r>
      <w:r>
        <w:t>Bank</w:t>
      </w:r>
      <w:r>
        <w:rPr>
          <w:spacing w:val="-18"/>
        </w:rPr>
        <w:t xml:space="preserve"> </w:t>
      </w:r>
      <w:r>
        <w:t>Credit</w:t>
      </w:r>
      <w:r>
        <w:rPr>
          <w:spacing w:val="-9"/>
        </w:rPr>
        <w:t xml:space="preserve"> </w:t>
      </w:r>
      <w:r>
        <w:t>Agreements: Empirical Insights from Indonesia</w:t>
      </w:r>
    </w:p>
    <w:p w:rsidR="00143FDB" w:rsidRDefault="006A44E3">
      <w:pPr>
        <w:spacing w:before="299"/>
        <w:ind w:left="161" w:right="115"/>
        <w:jc w:val="center"/>
        <w:rPr>
          <w:position w:val="7"/>
          <w:sz w:val="16"/>
        </w:rPr>
      </w:pPr>
      <w:r>
        <w:rPr>
          <w:sz w:val="24"/>
        </w:rPr>
        <w:t>Burhan</w:t>
      </w:r>
      <w:r>
        <w:rPr>
          <w:spacing w:val="-8"/>
          <w:sz w:val="24"/>
        </w:rPr>
        <w:t xml:space="preserve"> </w:t>
      </w:r>
      <w:r>
        <w:rPr>
          <w:sz w:val="24"/>
        </w:rPr>
        <w:t>Sidabariba</w:t>
      </w:r>
      <w:r>
        <w:rPr>
          <w:spacing w:val="1"/>
          <w:sz w:val="24"/>
        </w:rPr>
        <w:t xml:space="preserve"> </w:t>
      </w:r>
      <w:r>
        <w:rPr>
          <w:spacing w:val="-10"/>
          <w:position w:val="7"/>
          <w:sz w:val="16"/>
        </w:rPr>
        <w:t>1</w:t>
      </w:r>
    </w:p>
    <w:p w:rsidR="00143FDB" w:rsidRDefault="006A44E3">
      <w:pPr>
        <w:spacing w:before="14" w:line="253" w:lineRule="exact"/>
        <w:ind w:left="170" w:right="115"/>
        <w:jc w:val="center"/>
        <w:rPr>
          <w:i/>
        </w:rPr>
      </w:pPr>
      <w:r>
        <w:rPr>
          <w:i/>
          <w:sz w:val="19"/>
        </w:rPr>
        <w:t>Corresponding</w:t>
      </w:r>
      <w:r>
        <w:rPr>
          <w:i/>
          <w:spacing w:val="18"/>
          <w:sz w:val="19"/>
        </w:rPr>
        <w:t xml:space="preserve"> </w:t>
      </w:r>
      <w:r>
        <w:rPr>
          <w:i/>
          <w:sz w:val="19"/>
        </w:rPr>
        <w:t>Author</w:t>
      </w:r>
      <w:r>
        <w:rPr>
          <w:i/>
          <w:spacing w:val="13"/>
          <w:sz w:val="19"/>
        </w:rPr>
        <w:t xml:space="preserve"> </w:t>
      </w:r>
      <w:r>
        <w:rPr>
          <w:i/>
        </w:rPr>
        <w:t>:</w:t>
      </w:r>
      <w:r>
        <w:rPr>
          <w:i/>
          <w:spacing w:val="25"/>
        </w:rPr>
        <w:t xml:space="preserve"> </w:t>
      </w:r>
      <w:r>
        <w:rPr>
          <w:i/>
          <w:spacing w:val="-2"/>
          <w:vertAlign w:val="superscript"/>
        </w:rPr>
        <w:t>1</w:t>
      </w:r>
      <w:hyperlink r:id="rId7">
        <w:r>
          <w:rPr>
            <w:i/>
            <w:color w:val="0000FF"/>
            <w:spacing w:val="-2"/>
            <w:u w:val="single" w:color="0000FF"/>
          </w:rPr>
          <w:t>burhansidausu@gmail.com</w:t>
        </w:r>
      </w:hyperlink>
    </w:p>
    <w:p w:rsidR="00143FDB" w:rsidRDefault="006A44E3">
      <w:pPr>
        <w:spacing w:line="276" w:lineRule="exact"/>
        <w:ind w:left="150" w:right="131"/>
        <w:jc w:val="center"/>
        <w:rPr>
          <w:sz w:val="24"/>
        </w:rPr>
      </w:pPr>
      <w:r>
        <w:rPr>
          <w:position w:val="7"/>
          <w:sz w:val="16"/>
        </w:rPr>
        <w:t>1</w:t>
      </w:r>
      <w:r>
        <w:rPr>
          <w:spacing w:val="-10"/>
          <w:position w:val="7"/>
          <w:sz w:val="16"/>
        </w:rPr>
        <w:t xml:space="preserve"> </w:t>
      </w:r>
      <w:r>
        <w:rPr>
          <w:sz w:val="24"/>
        </w:rPr>
        <w:t>Faculty</w:t>
      </w:r>
      <w:r>
        <w:rPr>
          <w:spacing w:val="-15"/>
          <w:sz w:val="24"/>
        </w:rPr>
        <w:t xml:space="preserve"> </w:t>
      </w:r>
      <w:r>
        <w:rPr>
          <w:sz w:val="24"/>
        </w:rPr>
        <w:t>of</w:t>
      </w:r>
      <w:r>
        <w:rPr>
          <w:spacing w:val="-15"/>
          <w:sz w:val="24"/>
        </w:rPr>
        <w:t xml:space="preserve"> </w:t>
      </w:r>
      <w:r>
        <w:rPr>
          <w:sz w:val="24"/>
        </w:rPr>
        <w:t>Law,</w:t>
      </w:r>
      <w:r>
        <w:rPr>
          <w:spacing w:val="-9"/>
          <w:sz w:val="24"/>
        </w:rPr>
        <w:t xml:space="preserve"> </w:t>
      </w:r>
      <w:r>
        <w:rPr>
          <w:sz w:val="24"/>
        </w:rPr>
        <w:t>Universitas</w:t>
      </w:r>
      <w:r>
        <w:rPr>
          <w:spacing w:val="19"/>
          <w:sz w:val="24"/>
        </w:rPr>
        <w:t xml:space="preserve"> </w:t>
      </w:r>
      <w:r>
        <w:rPr>
          <w:sz w:val="24"/>
        </w:rPr>
        <w:t>Sumatera</w:t>
      </w:r>
      <w:r>
        <w:rPr>
          <w:spacing w:val="2"/>
          <w:sz w:val="24"/>
        </w:rPr>
        <w:t xml:space="preserve"> </w:t>
      </w:r>
      <w:r>
        <w:rPr>
          <w:sz w:val="24"/>
        </w:rPr>
        <w:t>Utara,</w:t>
      </w:r>
      <w:r>
        <w:rPr>
          <w:spacing w:val="-3"/>
          <w:sz w:val="24"/>
        </w:rPr>
        <w:t xml:space="preserve"> </w:t>
      </w:r>
      <w:r>
        <w:rPr>
          <w:spacing w:val="-2"/>
          <w:sz w:val="24"/>
        </w:rPr>
        <w:t>Indonesia</w:t>
      </w:r>
    </w:p>
    <w:p w:rsidR="00143FDB" w:rsidRDefault="00143FDB">
      <w:pPr>
        <w:pStyle w:val="BodyText"/>
        <w:ind w:left="0"/>
        <w:jc w:val="left"/>
        <w:rPr>
          <w:sz w:val="20"/>
        </w:rPr>
      </w:pPr>
    </w:p>
    <w:p w:rsidR="00143FDB" w:rsidRDefault="006A44E3">
      <w:pPr>
        <w:pStyle w:val="BodyText"/>
        <w:spacing w:before="110"/>
        <w:ind w:left="0"/>
        <w:jc w:val="left"/>
        <w:rPr>
          <w:sz w:val="20"/>
        </w:rPr>
      </w:pPr>
      <w:r>
        <w:rPr>
          <w:noProof/>
          <w:sz w:val="20"/>
        </w:rPr>
        <mc:AlternateContent>
          <mc:Choice Requires="wps">
            <w:drawing>
              <wp:anchor distT="0" distB="0" distL="0" distR="0" simplePos="0" relativeHeight="487587840" behindDoc="1" locked="0" layoutInCell="1" allowOverlap="1">
                <wp:simplePos x="0" y="0"/>
                <wp:positionH relativeFrom="page">
                  <wp:posOffset>1049019</wp:posOffset>
                </wp:positionH>
                <wp:positionV relativeFrom="paragraph">
                  <wp:posOffset>231666</wp:posOffset>
                </wp:positionV>
                <wp:extent cx="5474970" cy="952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74970" cy="9525"/>
                        </a:xfrm>
                        <a:custGeom>
                          <a:avLst/>
                          <a:gdLst/>
                          <a:ahLst/>
                          <a:cxnLst/>
                          <a:rect l="l" t="t" r="r" b="b"/>
                          <a:pathLst>
                            <a:path w="5474970" h="9525">
                              <a:moveTo>
                                <a:pt x="5474461" y="0"/>
                              </a:moveTo>
                              <a:lnTo>
                                <a:pt x="0" y="0"/>
                              </a:lnTo>
                              <a:lnTo>
                                <a:pt x="0" y="9525"/>
                              </a:lnTo>
                              <a:lnTo>
                                <a:pt x="5474461" y="9525"/>
                              </a:lnTo>
                              <a:lnTo>
                                <a:pt x="547446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79AEC4" id="Graphic 6" o:spid="_x0000_s1026" style="position:absolute;margin-left:82.6pt;margin-top:18.25pt;width:431.1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54749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" path="m5474461,l,,,9525r5474461,l5474461,xe" fillcolor="black" stroked="f">
                <v:path arrowok="t"/>
                <w10:wrap type="topAndBottom" anchorx="page"/>
              </v:shape>
            </w:pict>
          </mc:Fallback>
        </mc:AlternateContent>
      </w:r>
    </w:p>
    <w:p w:rsidR="00143FDB" w:rsidRDefault="006A44E3">
      <w:pPr>
        <w:tabs>
          <w:tab w:val="left" w:pos="3312"/>
          <w:tab w:val="left" w:pos="9155"/>
        </w:tabs>
        <w:spacing w:before="12"/>
        <w:ind w:left="518"/>
        <w:jc w:val="both"/>
        <w:rPr>
          <w:rFonts w:ascii="Cambria"/>
          <w:b/>
          <w:i/>
        </w:rPr>
      </w:pPr>
      <w:r>
        <w:rPr>
          <w:rFonts w:ascii="Cambria"/>
          <w:b/>
          <w:i/>
          <w:spacing w:val="54"/>
          <w:u w:val="single"/>
        </w:rPr>
        <w:t xml:space="preserve"> </w:t>
      </w:r>
      <w:r>
        <w:rPr>
          <w:rFonts w:ascii="Cambria"/>
          <w:b/>
          <w:i/>
          <w:u w:val="single"/>
        </w:rPr>
        <w:t>Article</w:t>
      </w:r>
      <w:r>
        <w:rPr>
          <w:rFonts w:ascii="Cambria"/>
          <w:b/>
          <w:i/>
          <w:spacing w:val="-8"/>
          <w:u w:val="single"/>
        </w:rPr>
        <w:t xml:space="preserve"> </w:t>
      </w:r>
      <w:r>
        <w:rPr>
          <w:rFonts w:ascii="Cambria"/>
          <w:b/>
          <w:i/>
          <w:spacing w:val="-4"/>
          <w:u w:val="single"/>
        </w:rPr>
        <w:t>Info</w:t>
      </w:r>
      <w:r>
        <w:rPr>
          <w:rFonts w:ascii="Cambria"/>
          <w:b/>
          <w:i/>
          <w:u w:val="single"/>
        </w:rPr>
        <w:tab/>
      </w:r>
      <w:r>
        <w:rPr>
          <w:rFonts w:ascii="Cambria"/>
          <w:b/>
          <w:i/>
          <w:spacing w:val="294"/>
        </w:rPr>
        <w:t xml:space="preserve"> </w:t>
      </w:r>
      <w:r>
        <w:rPr>
          <w:rFonts w:ascii="Cambria"/>
          <w:b/>
          <w:i/>
          <w:spacing w:val="275"/>
          <w:u w:val="single"/>
        </w:rPr>
        <w:t xml:space="preserve"> </w:t>
      </w:r>
      <w:r>
        <w:rPr>
          <w:rFonts w:ascii="Cambria"/>
          <w:b/>
          <w:i/>
          <w:u w:val="single"/>
        </w:rPr>
        <w:t>Abstract</w:t>
      </w:r>
      <w:r>
        <w:rPr>
          <w:rFonts w:ascii="Cambria"/>
          <w:b/>
          <w:i/>
          <w:u w:val="single"/>
        </w:rPr>
        <w:tab/>
      </w:r>
    </w:p>
    <w:p w:rsidR="00143FDB" w:rsidRDefault="006A44E3">
      <w:pPr>
        <w:spacing w:before="25" w:line="213" w:lineRule="auto"/>
        <w:ind w:left="3778" w:right="575"/>
        <w:jc w:val="both"/>
        <w:rPr>
          <w:rFonts w:ascii="Cambria"/>
          <w:i/>
        </w:rPr>
      </w:pPr>
      <w:r>
        <w:rPr>
          <w:rFonts w:ascii="Cambria"/>
          <w:i/>
          <w:noProof/>
        </w:rPr>
        <mc:AlternateContent>
          <mc:Choice Requires="wps">
            <w:drawing>
              <wp:anchor distT="0" distB="0" distL="0" distR="0" simplePos="0" relativeHeight="15730176" behindDoc="0" locked="0" layoutInCell="1" allowOverlap="1">
                <wp:simplePos x="0" y="0"/>
                <wp:positionH relativeFrom="page">
                  <wp:posOffset>1048385</wp:posOffset>
                </wp:positionH>
                <wp:positionV relativeFrom="paragraph">
                  <wp:posOffset>19100</wp:posOffset>
                </wp:positionV>
                <wp:extent cx="1783714" cy="607314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3714" cy="6073140"/>
                        </a:xfrm>
                        <a:prstGeom prst="rect">
                          <a:avLst/>
                        </a:prstGeom>
                        <a:solidFill>
                          <a:srgbClr val="D9D9D9"/>
                        </a:solidFill>
                      </wps:spPr>
                      <wps:txbx>
                        <w:txbxContent>
                          <w:p w:rsidR="00143FDB" w:rsidRDefault="006A44E3">
                            <w:pPr>
                              <w:spacing w:before="32"/>
                              <w:ind w:left="106"/>
                              <w:rPr>
                                <w:rFonts w:ascii="Cambria"/>
                                <w:i/>
                                <w:color w:val="000000"/>
                              </w:rPr>
                            </w:pPr>
                            <w:r>
                              <w:rPr>
                                <w:rFonts w:ascii="Cambria"/>
                                <w:i/>
                                <w:color w:val="000000"/>
                              </w:rPr>
                              <w:t>Received:</w:t>
                            </w:r>
                            <w:r>
                              <w:rPr>
                                <w:rFonts w:ascii="Cambria"/>
                                <w:i/>
                                <w:color w:val="000000"/>
                                <w:spacing w:val="17"/>
                              </w:rPr>
                              <w:t xml:space="preserve"> </w:t>
                            </w:r>
                            <w:r>
                              <w:rPr>
                                <w:rFonts w:ascii="Cambria"/>
                                <w:i/>
                                <w:color w:val="000000"/>
                              </w:rPr>
                              <w:t>2025-03-</w:t>
                            </w:r>
                            <w:r>
                              <w:rPr>
                                <w:rFonts w:ascii="Cambria"/>
                                <w:i/>
                                <w:color w:val="000000"/>
                                <w:spacing w:val="-5"/>
                              </w:rPr>
                              <w:t>12</w:t>
                            </w:r>
                          </w:p>
                          <w:p w:rsidR="00143FDB" w:rsidRDefault="006A44E3">
                            <w:pPr>
                              <w:spacing w:before="27"/>
                              <w:ind w:left="106"/>
                              <w:rPr>
                                <w:rFonts w:ascii="Cambria"/>
                                <w:i/>
                                <w:color w:val="000000"/>
                              </w:rPr>
                            </w:pPr>
                            <w:r>
                              <w:rPr>
                                <w:rFonts w:ascii="Cambria"/>
                                <w:i/>
                                <w:color w:val="000000"/>
                              </w:rPr>
                              <w:t>Revised:</w:t>
                            </w:r>
                            <w:r>
                              <w:rPr>
                                <w:rFonts w:ascii="Cambria"/>
                                <w:i/>
                                <w:color w:val="000000"/>
                                <w:spacing w:val="26"/>
                              </w:rPr>
                              <w:t xml:space="preserve"> </w:t>
                            </w:r>
                            <w:r>
                              <w:rPr>
                                <w:rFonts w:ascii="Cambria"/>
                                <w:i/>
                                <w:color w:val="000000"/>
                              </w:rPr>
                              <w:t>2025-03-</w:t>
                            </w:r>
                            <w:r>
                              <w:rPr>
                                <w:rFonts w:ascii="Cambria"/>
                                <w:i/>
                                <w:color w:val="000000"/>
                                <w:spacing w:val="-5"/>
                              </w:rPr>
                              <w:t>21</w:t>
                            </w:r>
                          </w:p>
                          <w:p w:rsidR="00143FDB" w:rsidRDefault="006A44E3">
                            <w:pPr>
                              <w:spacing w:before="29"/>
                              <w:ind w:left="106"/>
                              <w:rPr>
                                <w:rFonts w:ascii="Cambria"/>
                                <w:i/>
                                <w:color w:val="000000"/>
                              </w:rPr>
                            </w:pPr>
                            <w:r>
                              <w:rPr>
                                <w:rFonts w:ascii="Cambria"/>
                                <w:i/>
                                <w:color w:val="000000"/>
                              </w:rPr>
                              <w:t>Accepted:</w:t>
                            </w:r>
                            <w:r>
                              <w:rPr>
                                <w:rFonts w:ascii="Cambria"/>
                                <w:i/>
                                <w:color w:val="000000"/>
                                <w:spacing w:val="7"/>
                              </w:rPr>
                              <w:t xml:space="preserve"> </w:t>
                            </w:r>
                            <w:r>
                              <w:rPr>
                                <w:rFonts w:ascii="Cambria"/>
                                <w:i/>
                                <w:color w:val="000000"/>
                              </w:rPr>
                              <w:t>2025-06-</w:t>
                            </w:r>
                            <w:r>
                              <w:rPr>
                                <w:rFonts w:ascii="Cambria"/>
                                <w:i/>
                                <w:color w:val="000000"/>
                                <w:spacing w:val="-5"/>
                              </w:rPr>
                              <w:t>05</w:t>
                            </w:r>
                          </w:p>
                          <w:p w:rsidR="00143FDB" w:rsidRDefault="00143FDB">
                            <w:pPr>
                              <w:pStyle w:val="BodyText"/>
                              <w:spacing w:before="50"/>
                              <w:ind w:left="0"/>
                              <w:jc w:val="left"/>
                              <w:rPr>
                                <w:rFonts w:ascii="Cambria"/>
                                <w:i/>
                                <w:color w:val="000000"/>
                              </w:rPr>
                            </w:pPr>
                          </w:p>
                          <w:p w:rsidR="00143FDB" w:rsidRDefault="006A44E3">
                            <w:pPr>
                              <w:ind w:left="106"/>
                              <w:rPr>
                                <w:rFonts w:ascii="Cambria"/>
                                <w:b/>
                                <w:i/>
                                <w:color w:val="000000"/>
                              </w:rPr>
                            </w:pPr>
                            <w:r>
                              <w:rPr>
                                <w:rFonts w:ascii="Cambria"/>
                                <w:b/>
                                <w:i/>
                                <w:color w:val="000000"/>
                                <w:spacing w:val="-2"/>
                              </w:rPr>
                              <w:t>Keywords:</w:t>
                            </w:r>
                          </w:p>
                          <w:p w:rsidR="00143FDB" w:rsidRDefault="006A44E3">
                            <w:pPr>
                              <w:spacing w:before="27" w:line="211" w:lineRule="auto"/>
                              <w:ind w:left="106" w:right="702"/>
                              <w:rPr>
                                <w:rFonts w:ascii="Cambria"/>
                                <w:i/>
                                <w:color w:val="000000"/>
                              </w:rPr>
                            </w:pPr>
                            <w:r>
                              <w:rPr>
                                <w:rFonts w:ascii="Cambria"/>
                                <w:i/>
                                <w:color w:val="000000"/>
                              </w:rPr>
                              <w:t>Bank Credit, Legal Protection,</w:t>
                            </w:r>
                            <w:r>
                              <w:rPr>
                                <w:rFonts w:ascii="Cambria"/>
                                <w:i/>
                                <w:color w:val="000000"/>
                                <w:spacing w:val="-19"/>
                              </w:rPr>
                              <w:t xml:space="preserve"> </w:t>
                            </w:r>
                            <w:r>
                              <w:rPr>
                                <w:rFonts w:ascii="Cambria"/>
                                <w:i/>
                                <w:color w:val="000000"/>
                              </w:rPr>
                              <w:t xml:space="preserve">Collateral, </w:t>
                            </w:r>
                            <w:r>
                              <w:rPr>
                                <w:rFonts w:ascii="Cambria"/>
                                <w:i/>
                                <w:color w:val="000000"/>
                                <w:spacing w:val="-2"/>
                              </w:rPr>
                              <w:t>Agreement,</w:t>
                            </w:r>
                            <w:r>
                              <w:rPr>
                                <w:rFonts w:ascii="Cambria"/>
                                <w:i/>
                                <w:color w:val="000000"/>
                                <w:spacing w:val="-21"/>
                              </w:rPr>
                              <w:t xml:space="preserve"> </w:t>
                            </w:r>
                            <w:r>
                              <w:rPr>
                                <w:rFonts w:ascii="Cambria"/>
                                <w:i/>
                                <w:color w:val="000000"/>
                                <w:spacing w:val="-2"/>
                              </w:rPr>
                              <w:t xml:space="preserve">Fiduciary, </w:t>
                            </w:r>
                            <w:r>
                              <w:rPr>
                                <w:rFonts w:ascii="Cambria"/>
                                <w:i/>
                                <w:color w:val="000000"/>
                              </w:rPr>
                              <w:t>Mortgage</w:t>
                            </w:r>
                            <w:r>
                              <w:rPr>
                                <w:rFonts w:ascii="Cambria"/>
                                <w:i/>
                                <w:color w:val="000000"/>
                                <w:spacing w:val="-18"/>
                              </w:rPr>
                              <w:t xml:space="preserve"> </w:t>
                            </w:r>
                            <w:r>
                              <w:rPr>
                                <w:rFonts w:ascii="Cambria"/>
                                <w:i/>
                                <w:color w:val="000000"/>
                              </w:rPr>
                              <w:t>Rights</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 o:spid="_x0000_s1026" type="#_x0000_t202" style="position:absolute;left:0;text-align:left;margin-left:82.55pt;margin-top:1.5pt;width:140.45pt;height:478.2pt;z-index:15730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" fillcolor="#d9d9d9" stroked="f">
                <v:path arrowok="t"/>
                <v:textbox inset="0,0,0,0">
                  <w:txbxContent>
                    <w:p w:rsidR="00143FDB" w:rsidRDefault="006A44E3">
                      <w:pPr>
                        <w:spacing w:before="32"/>
                        <w:ind w:left="106"/>
                        <w:rPr>
                          <w:rFonts w:ascii="Cambria"/>
                          <w:i/>
                          <w:color w:val="000000"/>
                        </w:rPr>
                      </w:pPr>
                      <w:r>
                        <w:rPr>
                          <w:rFonts w:ascii="Cambria"/>
                          <w:i/>
                          <w:color w:val="000000"/>
                        </w:rPr>
                        <w:t>Received:</w:t>
                      </w:r>
                      <w:r>
                        <w:rPr>
                          <w:rFonts w:ascii="Cambria"/>
                          <w:i/>
                          <w:color w:val="000000"/>
                          <w:spacing w:val="17"/>
                        </w:rPr>
                        <w:t xml:space="preserve"> </w:t>
                      </w:r>
                      <w:r>
                        <w:rPr>
                          <w:rFonts w:ascii="Cambria"/>
                          <w:i/>
                          <w:color w:val="000000"/>
                        </w:rPr>
                        <w:t>2025-03-</w:t>
                      </w:r>
                      <w:r>
                        <w:rPr>
                          <w:rFonts w:ascii="Cambria"/>
                          <w:i/>
                          <w:color w:val="000000"/>
                          <w:spacing w:val="-5"/>
                        </w:rPr>
                        <w:t>12</w:t>
                      </w:r>
                    </w:p>
                    <w:p w:rsidR="00143FDB" w:rsidRDefault="006A44E3">
                      <w:pPr>
                        <w:spacing w:before="27"/>
                        <w:ind w:left="106"/>
                        <w:rPr>
                          <w:rFonts w:ascii="Cambria"/>
                          <w:i/>
                          <w:color w:val="000000"/>
                        </w:rPr>
                      </w:pPr>
                      <w:r>
                        <w:rPr>
                          <w:rFonts w:ascii="Cambria"/>
                          <w:i/>
                          <w:color w:val="000000"/>
                        </w:rPr>
                        <w:t>Revised:</w:t>
                      </w:r>
                      <w:r>
                        <w:rPr>
                          <w:rFonts w:ascii="Cambria"/>
                          <w:i/>
                          <w:color w:val="000000"/>
                          <w:spacing w:val="26"/>
                        </w:rPr>
                        <w:t xml:space="preserve"> </w:t>
                      </w:r>
                      <w:r>
                        <w:rPr>
                          <w:rFonts w:ascii="Cambria"/>
                          <w:i/>
                          <w:color w:val="000000"/>
                        </w:rPr>
                        <w:t>2025-03-</w:t>
                      </w:r>
                      <w:r>
                        <w:rPr>
                          <w:rFonts w:ascii="Cambria"/>
                          <w:i/>
                          <w:color w:val="000000"/>
                          <w:spacing w:val="-5"/>
                        </w:rPr>
                        <w:t>21</w:t>
                      </w:r>
                    </w:p>
                    <w:p w:rsidR="00143FDB" w:rsidRDefault="006A44E3">
                      <w:pPr>
                        <w:spacing w:before="29"/>
                        <w:ind w:left="106"/>
                        <w:rPr>
                          <w:rFonts w:ascii="Cambria"/>
                          <w:i/>
                          <w:color w:val="000000"/>
                        </w:rPr>
                      </w:pPr>
                      <w:r>
                        <w:rPr>
                          <w:rFonts w:ascii="Cambria"/>
                          <w:i/>
                          <w:color w:val="000000"/>
                        </w:rPr>
                        <w:t>Accepted:</w:t>
                      </w:r>
                      <w:r>
                        <w:rPr>
                          <w:rFonts w:ascii="Cambria"/>
                          <w:i/>
                          <w:color w:val="000000"/>
                          <w:spacing w:val="7"/>
                        </w:rPr>
                        <w:t xml:space="preserve"> </w:t>
                      </w:r>
                      <w:r>
                        <w:rPr>
                          <w:rFonts w:ascii="Cambria"/>
                          <w:i/>
                          <w:color w:val="000000"/>
                        </w:rPr>
                        <w:t>2025-06-</w:t>
                      </w:r>
                      <w:r>
                        <w:rPr>
                          <w:rFonts w:ascii="Cambria"/>
                          <w:i/>
                          <w:color w:val="000000"/>
                          <w:spacing w:val="-5"/>
                        </w:rPr>
                        <w:t>05</w:t>
                      </w:r>
                    </w:p>
                    <w:p w:rsidR="00143FDB" w:rsidRDefault="00143FDB">
                      <w:pPr>
                        <w:pStyle w:val="BodyText"/>
                        <w:spacing w:before="50"/>
                        <w:ind w:left="0"/>
                        <w:jc w:val="left"/>
                        <w:rPr>
                          <w:rFonts w:ascii="Cambria"/>
                          <w:i/>
                          <w:color w:val="000000"/>
                        </w:rPr>
                      </w:pPr>
                    </w:p>
                    <w:p w:rsidR="00143FDB" w:rsidRDefault="006A44E3">
                      <w:pPr>
                        <w:ind w:left="106"/>
                        <w:rPr>
                          <w:rFonts w:ascii="Cambria"/>
                          <w:b/>
                          <w:i/>
                          <w:color w:val="000000"/>
                        </w:rPr>
                      </w:pPr>
                      <w:r>
                        <w:rPr>
                          <w:rFonts w:ascii="Cambria"/>
                          <w:b/>
                          <w:i/>
                          <w:color w:val="000000"/>
                          <w:spacing w:val="-2"/>
                        </w:rPr>
                        <w:t>Keywords:</w:t>
                      </w:r>
                    </w:p>
                    <w:p w:rsidR="00143FDB" w:rsidRDefault="006A44E3">
                      <w:pPr>
                        <w:spacing w:before="27" w:line="211" w:lineRule="auto"/>
                        <w:ind w:left="106" w:right="702"/>
                        <w:rPr>
                          <w:rFonts w:ascii="Cambria"/>
                          <w:i/>
                          <w:color w:val="000000"/>
                        </w:rPr>
                      </w:pPr>
                      <w:r>
                        <w:rPr>
                          <w:rFonts w:ascii="Cambria"/>
                          <w:i/>
                          <w:color w:val="000000"/>
                        </w:rPr>
                        <w:t>Bank Credit, Legal Protection,</w:t>
                      </w:r>
                      <w:r>
                        <w:rPr>
                          <w:rFonts w:ascii="Cambria"/>
                          <w:i/>
                          <w:color w:val="000000"/>
                          <w:spacing w:val="-19"/>
                        </w:rPr>
                        <w:t xml:space="preserve"> </w:t>
                      </w:r>
                      <w:r>
                        <w:rPr>
                          <w:rFonts w:ascii="Cambria"/>
                          <w:i/>
                          <w:color w:val="000000"/>
                        </w:rPr>
                        <w:t xml:space="preserve">Collateral, </w:t>
                      </w:r>
                      <w:r>
                        <w:rPr>
                          <w:rFonts w:ascii="Cambria"/>
                          <w:i/>
                          <w:color w:val="000000"/>
                          <w:spacing w:val="-2"/>
                        </w:rPr>
                        <w:t>Agreement,</w:t>
                      </w:r>
                      <w:r>
                        <w:rPr>
                          <w:rFonts w:ascii="Cambria"/>
                          <w:i/>
                          <w:color w:val="000000"/>
                          <w:spacing w:val="-21"/>
                        </w:rPr>
                        <w:t xml:space="preserve"> </w:t>
                      </w:r>
                      <w:r>
                        <w:rPr>
                          <w:rFonts w:ascii="Cambria"/>
                          <w:i/>
                          <w:color w:val="000000"/>
                          <w:spacing w:val="-2"/>
                        </w:rPr>
                        <w:t xml:space="preserve">Fiduciary, </w:t>
                      </w:r>
                      <w:r>
                        <w:rPr>
                          <w:rFonts w:ascii="Cambria"/>
                          <w:i/>
                          <w:color w:val="000000"/>
                        </w:rPr>
                        <w:t>Mortgage</w:t>
                      </w:r>
                      <w:r>
                        <w:rPr>
                          <w:rFonts w:ascii="Cambria"/>
                          <w:i/>
                          <w:color w:val="000000"/>
                          <w:spacing w:val="-18"/>
                        </w:rPr>
                        <w:t xml:space="preserve"> </w:t>
                      </w:r>
                      <w:r>
                        <w:rPr>
                          <w:rFonts w:ascii="Cambria"/>
                          <w:i/>
                          <w:color w:val="000000"/>
                        </w:rPr>
                        <w:t>Rights</w:t>
                      </w:r>
                    </w:p>
                  </w:txbxContent>
                </v:textbox>
                <w10:wrap anchorx="page"/>
              </v:shape>
            </w:pict>
          </mc:Fallback>
        </mc:AlternateContent>
      </w:r>
      <w:r>
        <w:rPr>
          <w:rFonts w:ascii="Cambria"/>
          <w:i/>
        </w:rPr>
        <w:t>The theory of legal protection aims to safeguard vulnerable</w:t>
      </w:r>
      <w:r>
        <w:rPr>
          <w:rFonts w:ascii="Cambria"/>
          <w:i/>
          <w:spacing w:val="-13"/>
        </w:rPr>
        <w:t xml:space="preserve"> </w:t>
      </w:r>
      <w:r>
        <w:rPr>
          <w:rFonts w:ascii="Cambria"/>
          <w:i/>
        </w:rPr>
        <w:t>communities</w:t>
      </w:r>
      <w:r>
        <w:rPr>
          <w:rFonts w:ascii="Cambria"/>
          <w:i/>
          <w:spacing w:val="-12"/>
        </w:rPr>
        <w:t xml:space="preserve"> </w:t>
      </w:r>
      <w:r>
        <w:rPr>
          <w:rFonts w:ascii="Cambria"/>
          <w:i/>
        </w:rPr>
        <w:t>both</w:t>
      </w:r>
      <w:r>
        <w:rPr>
          <w:rFonts w:ascii="Cambria"/>
          <w:i/>
          <w:spacing w:val="-12"/>
        </w:rPr>
        <w:t xml:space="preserve"> </w:t>
      </w:r>
      <w:r>
        <w:rPr>
          <w:rFonts w:ascii="Cambria"/>
          <w:i/>
        </w:rPr>
        <w:t>economically</w:t>
      </w:r>
      <w:r>
        <w:rPr>
          <w:rFonts w:ascii="Cambria"/>
          <w:i/>
          <w:spacing w:val="-12"/>
        </w:rPr>
        <w:t xml:space="preserve"> </w:t>
      </w:r>
      <w:r>
        <w:rPr>
          <w:rFonts w:ascii="Cambria"/>
          <w:i/>
        </w:rPr>
        <w:t>and</w:t>
      </w:r>
      <w:r>
        <w:rPr>
          <w:rFonts w:ascii="Cambria"/>
          <w:i/>
          <w:spacing w:val="-12"/>
        </w:rPr>
        <w:t xml:space="preserve"> </w:t>
      </w:r>
      <w:r>
        <w:rPr>
          <w:rFonts w:ascii="Cambria"/>
          <w:i/>
        </w:rPr>
        <w:t>juridically. In the pursuit of protecting human rights, the state seeks to maintain a harmonious relationship between government institutions and citizens, ground</w:t>
      </w:r>
      <w:r>
        <w:rPr>
          <w:rFonts w:ascii="Cambria"/>
          <w:i/>
        </w:rPr>
        <w:t>ed in a balanced and functional distribution of state powers, where disputes are resolved through deliberation. This study focuses on the commitments and agreements established between banks and their credit clients. A descriptive</w:t>
      </w:r>
      <w:r>
        <w:rPr>
          <w:rFonts w:ascii="Cambria"/>
          <w:i/>
          <w:spacing w:val="-1"/>
        </w:rPr>
        <w:t xml:space="preserve"> </w:t>
      </w:r>
      <w:r>
        <w:rPr>
          <w:rFonts w:ascii="Cambria"/>
          <w:i/>
        </w:rPr>
        <w:t>qualitative</w:t>
      </w:r>
      <w:r>
        <w:rPr>
          <w:rFonts w:ascii="Cambria"/>
          <w:i/>
          <w:spacing w:val="-2"/>
        </w:rPr>
        <w:t xml:space="preserve"> </w:t>
      </w:r>
      <w:r>
        <w:rPr>
          <w:rFonts w:ascii="Cambria"/>
          <w:i/>
        </w:rPr>
        <w:t>approach was employed</w:t>
      </w:r>
      <w:r>
        <w:rPr>
          <w:rFonts w:ascii="Cambria"/>
          <w:i/>
          <w:spacing w:val="-2"/>
        </w:rPr>
        <w:t xml:space="preserve"> </w:t>
      </w:r>
      <w:r>
        <w:rPr>
          <w:rFonts w:ascii="Cambria"/>
          <w:i/>
        </w:rPr>
        <w:t>to explore this dynamic. The findings reveal key distinctions in the classification of collateral objects, categorized as either movable or immovable, highlighting five primary differentiations. First, these distinctions pertain to th</w:t>
      </w:r>
      <w:r>
        <w:rPr>
          <w:rFonts w:ascii="Cambria"/>
          <w:i/>
        </w:rPr>
        <w:t>e form of collateral, distinguishing between fiduciary, pledge, and mortgage rights based on the nature of the collateral whether movable or immovable. Second, leveraging of collateral is contingent on the object type, influencing the</w:t>
      </w:r>
      <w:r>
        <w:rPr>
          <w:rFonts w:ascii="Cambria"/>
          <w:i/>
          <w:spacing w:val="-4"/>
        </w:rPr>
        <w:t xml:space="preserve"> </w:t>
      </w:r>
      <w:r>
        <w:rPr>
          <w:rFonts w:ascii="Cambria"/>
          <w:i/>
        </w:rPr>
        <w:t>method</w:t>
      </w:r>
      <w:r>
        <w:rPr>
          <w:rFonts w:ascii="Cambria"/>
          <w:i/>
          <w:spacing w:val="-4"/>
        </w:rPr>
        <w:t xml:space="preserve"> </w:t>
      </w:r>
      <w:r>
        <w:rPr>
          <w:rFonts w:ascii="Cambria"/>
          <w:i/>
        </w:rPr>
        <w:t>of</w:t>
      </w:r>
      <w:r>
        <w:rPr>
          <w:rFonts w:ascii="Cambria"/>
          <w:i/>
          <w:spacing w:val="-1"/>
        </w:rPr>
        <w:t xml:space="preserve"> </w:t>
      </w:r>
      <w:r>
        <w:rPr>
          <w:rFonts w:ascii="Cambria"/>
          <w:i/>
        </w:rPr>
        <w:t>delivery.</w:t>
      </w:r>
      <w:r>
        <w:rPr>
          <w:rFonts w:ascii="Cambria"/>
          <w:i/>
          <w:spacing w:val="-3"/>
        </w:rPr>
        <w:t xml:space="preserve"> </w:t>
      </w:r>
      <w:r>
        <w:rPr>
          <w:rFonts w:ascii="Cambria"/>
          <w:i/>
        </w:rPr>
        <w:t>T</w:t>
      </w:r>
      <w:r>
        <w:rPr>
          <w:rFonts w:ascii="Cambria"/>
          <w:i/>
        </w:rPr>
        <w:t>hird,</w:t>
      </w:r>
      <w:r>
        <w:rPr>
          <w:rFonts w:ascii="Cambria"/>
          <w:i/>
          <w:spacing w:val="-4"/>
        </w:rPr>
        <w:t xml:space="preserve"> </w:t>
      </w:r>
      <w:r>
        <w:rPr>
          <w:rFonts w:ascii="Cambria"/>
          <w:i/>
        </w:rPr>
        <w:t>movable</w:t>
      </w:r>
      <w:r>
        <w:rPr>
          <w:rFonts w:ascii="Cambria"/>
          <w:i/>
          <w:spacing w:val="-4"/>
        </w:rPr>
        <w:t xml:space="preserve"> </w:t>
      </w:r>
      <w:r>
        <w:rPr>
          <w:rFonts w:ascii="Cambria"/>
          <w:i/>
        </w:rPr>
        <w:t>objects are delivered through physical transfer, while immovable objects require formal procedures, such as title transfer. Fourth, the expiration terms for collateral differ, with immovable objects typically having no expiration, while movab</w:t>
      </w:r>
      <w:r>
        <w:rPr>
          <w:rFonts w:ascii="Cambria"/>
          <w:i/>
        </w:rPr>
        <w:t>le objects have an expiration clause. Finally, the concept of possession (bezit) is crucial, where the possessor</w:t>
      </w:r>
      <w:r>
        <w:rPr>
          <w:rFonts w:ascii="Cambria"/>
          <w:i/>
          <w:spacing w:val="-6"/>
        </w:rPr>
        <w:t xml:space="preserve"> </w:t>
      </w:r>
      <w:r>
        <w:rPr>
          <w:rFonts w:ascii="Cambria"/>
          <w:i/>
        </w:rPr>
        <w:t>of</w:t>
      </w:r>
      <w:r>
        <w:rPr>
          <w:rFonts w:ascii="Cambria"/>
          <w:i/>
          <w:spacing w:val="-7"/>
        </w:rPr>
        <w:t xml:space="preserve"> </w:t>
      </w:r>
      <w:r>
        <w:rPr>
          <w:rFonts w:ascii="Cambria"/>
          <w:i/>
        </w:rPr>
        <w:t>movable</w:t>
      </w:r>
      <w:r>
        <w:rPr>
          <w:rFonts w:ascii="Cambria"/>
          <w:i/>
          <w:spacing w:val="-2"/>
        </w:rPr>
        <w:t xml:space="preserve"> </w:t>
      </w:r>
      <w:r>
        <w:rPr>
          <w:rFonts w:ascii="Cambria"/>
          <w:i/>
        </w:rPr>
        <w:t>property</w:t>
      </w:r>
      <w:r>
        <w:rPr>
          <w:rFonts w:ascii="Cambria"/>
          <w:i/>
          <w:spacing w:val="-4"/>
        </w:rPr>
        <w:t xml:space="preserve"> </w:t>
      </w:r>
      <w:r>
        <w:rPr>
          <w:rFonts w:ascii="Cambria"/>
          <w:i/>
        </w:rPr>
        <w:t>is</w:t>
      </w:r>
      <w:r>
        <w:rPr>
          <w:rFonts w:ascii="Cambria"/>
          <w:i/>
          <w:spacing w:val="-1"/>
        </w:rPr>
        <w:t xml:space="preserve"> </w:t>
      </w:r>
      <w:r>
        <w:rPr>
          <w:rFonts w:ascii="Cambria"/>
          <w:i/>
        </w:rPr>
        <w:t>regardedas</w:t>
      </w:r>
      <w:r>
        <w:rPr>
          <w:rFonts w:ascii="Cambria"/>
          <w:i/>
          <w:spacing w:val="-2"/>
        </w:rPr>
        <w:t xml:space="preserve"> </w:t>
      </w:r>
      <w:r>
        <w:rPr>
          <w:rFonts w:ascii="Cambria"/>
          <w:i/>
        </w:rPr>
        <w:t>the</w:t>
      </w:r>
      <w:r>
        <w:rPr>
          <w:rFonts w:ascii="Cambria"/>
          <w:i/>
          <w:spacing w:val="-4"/>
        </w:rPr>
        <w:t xml:space="preserve"> </w:t>
      </w:r>
      <w:r>
        <w:rPr>
          <w:rFonts w:ascii="Cambria"/>
          <w:i/>
        </w:rPr>
        <w:t>owner,</w:t>
      </w:r>
      <w:r>
        <w:rPr>
          <w:rFonts w:ascii="Cambria"/>
          <w:i/>
          <w:spacing w:val="-4"/>
        </w:rPr>
        <w:t xml:space="preserve"> </w:t>
      </w:r>
      <w:r>
        <w:rPr>
          <w:rFonts w:ascii="Cambria"/>
          <w:i/>
        </w:rPr>
        <w:t>in contrast to immovable objects, where possession does not confer</w:t>
      </w:r>
      <w:r>
        <w:rPr>
          <w:rFonts w:ascii="Cambria"/>
          <w:i/>
          <w:spacing w:val="-6"/>
        </w:rPr>
        <w:t xml:space="preserve"> </w:t>
      </w:r>
      <w:r>
        <w:rPr>
          <w:rFonts w:ascii="Cambria"/>
          <w:i/>
        </w:rPr>
        <w:t>ownership.</w:t>
      </w:r>
    </w:p>
    <w:p w:rsidR="00143FDB" w:rsidRDefault="00143FDB">
      <w:pPr>
        <w:pStyle w:val="BodyText"/>
        <w:ind w:left="0"/>
        <w:jc w:val="left"/>
        <w:rPr>
          <w:rFonts w:ascii="Cambria"/>
          <w:i/>
          <w:sz w:val="20"/>
        </w:rPr>
      </w:pPr>
    </w:p>
    <w:p w:rsidR="00143FDB" w:rsidRDefault="00143FDB">
      <w:pPr>
        <w:pStyle w:val="BodyText"/>
        <w:ind w:left="0"/>
        <w:jc w:val="left"/>
        <w:rPr>
          <w:rFonts w:ascii="Cambria"/>
          <w:i/>
          <w:sz w:val="20"/>
        </w:rPr>
      </w:pPr>
    </w:p>
    <w:p w:rsidR="00143FDB" w:rsidRDefault="00143FDB">
      <w:pPr>
        <w:pStyle w:val="BodyText"/>
        <w:ind w:left="0"/>
        <w:jc w:val="left"/>
        <w:rPr>
          <w:rFonts w:ascii="Cambria"/>
          <w:i/>
          <w:sz w:val="20"/>
        </w:rPr>
      </w:pPr>
    </w:p>
    <w:p w:rsidR="00143FDB" w:rsidRDefault="00143FDB">
      <w:pPr>
        <w:pStyle w:val="BodyText"/>
        <w:ind w:left="0"/>
        <w:jc w:val="left"/>
        <w:rPr>
          <w:rFonts w:ascii="Cambria"/>
          <w:i/>
          <w:sz w:val="20"/>
        </w:rPr>
      </w:pPr>
    </w:p>
    <w:p w:rsidR="00143FDB" w:rsidRDefault="00143FDB">
      <w:pPr>
        <w:pStyle w:val="BodyText"/>
        <w:ind w:left="0"/>
        <w:jc w:val="left"/>
        <w:rPr>
          <w:rFonts w:ascii="Cambria"/>
          <w:i/>
          <w:sz w:val="20"/>
        </w:rPr>
      </w:pPr>
    </w:p>
    <w:p w:rsidR="00143FDB" w:rsidRDefault="00143FDB">
      <w:pPr>
        <w:pStyle w:val="BodyText"/>
        <w:ind w:left="0"/>
        <w:jc w:val="left"/>
        <w:rPr>
          <w:rFonts w:ascii="Cambria"/>
          <w:i/>
          <w:sz w:val="20"/>
        </w:rPr>
      </w:pPr>
    </w:p>
    <w:p w:rsidR="00143FDB" w:rsidRDefault="00143FDB">
      <w:pPr>
        <w:pStyle w:val="BodyText"/>
        <w:ind w:left="0"/>
        <w:jc w:val="left"/>
        <w:rPr>
          <w:rFonts w:ascii="Cambria"/>
          <w:i/>
          <w:sz w:val="20"/>
        </w:rPr>
      </w:pPr>
    </w:p>
    <w:p w:rsidR="00143FDB" w:rsidRDefault="00143FDB">
      <w:pPr>
        <w:pStyle w:val="BodyText"/>
        <w:ind w:left="0"/>
        <w:jc w:val="left"/>
        <w:rPr>
          <w:rFonts w:ascii="Cambria"/>
          <w:i/>
          <w:sz w:val="20"/>
        </w:rPr>
      </w:pPr>
    </w:p>
    <w:p w:rsidR="00143FDB" w:rsidRDefault="00143FDB">
      <w:pPr>
        <w:pStyle w:val="BodyText"/>
        <w:ind w:left="0"/>
        <w:jc w:val="left"/>
        <w:rPr>
          <w:rFonts w:ascii="Cambria"/>
          <w:i/>
          <w:sz w:val="20"/>
        </w:rPr>
      </w:pPr>
    </w:p>
    <w:p w:rsidR="00143FDB" w:rsidRDefault="00143FDB">
      <w:pPr>
        <w:pStyle w:val="BodyText"/>
        <w:ind w:left="0"/>
        <w:jc w:val="left"/>
        <w:rPr>
          <w:rFonts w:ascii="Cambria"/>
          <w:i/>
          <w:sz w:val="20"/>
        </w:rPr>
      </w:pPr>
    </w:p>
    <w:p w:rsidR="00143FDB" w:rsidRDefault="00143FDB">
      <w:pPr>
        <w:pStyle w:val="BodyText"/>
        <w:ind w:left="0"/>
        <w:jc w:val="left"/>
        <w:rPr>
          <w:rFonts w:ascii="Cambria"/>
          <w:i/>
          <w:sz w:val="20"/>
        </w:rPr>
      </w:pPr>
    </w:p>
    <w:p w:rsidR="00143FDB" w:rsidRDefault="00143FDB">
      <w:pPr>
        <w:pStyle w:val="BodyText"/>
        <w:ind w:left="0"/>
        <w:jc w:val="left"/>
        <w:rPr>
          <w:rFonts w:ascii="Cambria"/>
          <w:i/>
          <w:sz w:val="20"/>
        </w:rPr>
      </w:pPr>
    </w:p>
    <w:p w:rsidR="00143FDB" w:rsidRDefault="006A44E3">
      <w:pPr>
        <w:pStyle w:val="BodyText"/>
        <w:spacing w:before="68"/>
        <w:ind w:left="0"/>
        <w:jc w:val="left"/>
        <w:rPr>
          <w:rFonts w:ascii="Cambria"/>
          <w:i/>
          <w:sz w:val="20"/>
        </w:rPr>
      </w:pPr>
      <w:r>
        <w:rPr>
          <w:rFonts w:ascii="Cambria"/>
          <w:i/>
          <w:noProof/>
          <w:sz w:val="20"/>
        </w:rPr>
        <mc:AlternateContent>
          <mc:Choice Requires="wps">
            <w:drawing>
              <wp:anchor distT="0" distB="0" distL="0" distR="0" simplePos="0" relativeHeight="487588352" behindDoc="1" locked="0" layoutInCell="1" allowOverlap="1">
                <wp:simplePos x="0" y="0"/>
                <wp:positionH relativeFrom="page">
                  <wp:posOffset>1038860</wp:posOffset>
                </wp:positionH>
                <wp:positionV relativeFrom="paragraph">
                  <wp:posOffset>207926</wp:posOffset>
                </wp:positionV>
                <wp:extent cx="5484495" cy="9525"/>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4495" cy="9525"/>
                        </a:xfrm>
                        <a:custGeom>
                          <a:avLst/>
                          <a:gdLst/>
                          <a:ahLst/>
                          <a:cxnLst/>
                          <a:rect l="l" t="t" r="r" b="b"/>
                          <a:pathLst>
                            <a:path w="5484495" h="9525">
                              <a:moveTo>
                                <a:pt x="5483987" y="0"/>
                              </a:moveTo>
                              <a:lnTo>
                                <a:pt x="0" y="0"/>
                              </a:lnTo>
                              <a:lnTo>
                                <a:pt x="0" y="9525"/>
                              </a:lnTo>
                              <a:lnTo>
                                <a:pt x="5483987" y="9525"/>
                              </a:lnTo>
                              <a:lnTo>
                                <a:pt x="548398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817F8C" id="Graphic 8" o:spid="_x0000_s1026" style="position:absolute;margin-left:81.8pt;margin-top:16.35pt;width:431.85pt;height:.75pt;z-index:-15728128;visibility:visible;mso-wrap-style:square;mso-wrap-distance-left:0;mso-wrap-distance-top:0;mso-wrap-distance-right:0;mso-wrap-distance-bottom:0;mso-position-horizontal:absolute;mso-position-horizontal-relative:page;mso-position-vertical:absolute;mso-position-vertical-relative:text;v-text-anchor:top" coordsize="548449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" path="m5483987,l,,,9525r5483987,l5483987,xe" fillcolor="black" stroked="f">
                <v:path arrowok="t"/>
                <w10:wrap type="topAndBottom" anchorx="page"/>
              </v:shape>
            </w:pict>
          </mc:Fallback>
        </mc:AlternateContent>
      </w:r>
    </w:p>
    <w:p w:rsidR="00143FDB" w:rsidRDefault="00143FDB">
      <w:pPr>
        <w:pStyle w:val="BodyText"/>
        <w:ind w:left="0"/>
        <w:jc w:val="left"/>
        <w:rPr>
          <w:rFonts w:ascii="Cambria"/>
          <w:i/>
          <w:sz w:val="20"/>
        </w:rPr>
      </w:pPr>
    </w:p>
    <w:p w:rsidR="00143FDB" w:rsidRDefault="00143FDB">
      <w:pPr>
        <w:pStyle w:val="BodyText"/>
        <w:ind w:left="0"/>
        <w:jc w:val="left"/>
        <w:rPr>
          <w:rFonts w:ascii="Cambria"/>
          <w:i/>
          <w:sz w:val="20"/>
        </w:rPr>
      </w:pPr>
    </w:p>
    <w:p w:rsidR="00143FDB" w:rsidRDefault="00143FDB">
      <w:pPr>
        <w:pStyle w:val="BodyText"/>
        <w:spacing w:before="39"/>
        <w:ind w:left="0"/>
        <w:jc w:val="left"/>
        <w:rPr>
          <w:rFonts w:ascii="Cambria"/>
          <w:i/>
          <w:sz w:val="20"/>
        </w:rPr>
      </w:pPr>
    </w:p>
    <w:p w:rsidR="00143FDB" w:rsidRDefault="006A44E3">
      <w:pPr>
        <w:pStyle w:val="BodyText"/>
        <w:ind w:left="-1"/>
        <w:jc w:val="left"/>
        <w:rPr>
          <w:rFonts w:ascii="Cambria"/>
          <w:sz w:val="20"/>
        </w:rPr>
      </w:pPr>
      <w:r>
        <w:rPr>
          <w:rFonts w:ascii="Cambria"/>
          <w:noProof/>
          <w:sz w:val="20"/>
        </w:rPr>
        <mc:AlternateContent>
          <mc:Choice Requires="wps">
            <w:drawing>
              <wp:inline distT="0" distB="0" distL="0" distR="0">
                <wp:extent cx="5859145" cy="347345"/>
                <wp:effectExtent l="9525" t="0" r="0" b="5079"/>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59145" cy="347345"/>
                        </a:xfrm>
                        <a:prstGeom prst="rect">
                          <a:avLst/>
                        </a:prstGeom>
                        <a:solidFill>
                          <a:srgbClr val="923735"/>
                        </a:solidFill>
                        <a:ln w="9525">
                          <a:solidFill>
                            <a:srgbClr val="000000"/>
                          </a:solidFill>
                          <a:prstDash val="solid"/>
                        </a:ln>
                      </wps:spPr>
                      <wps:txbx>
                        <w:txbxContent>
                          <w:p w:rsidR="00143FDB" w:rsidRDefault="006A44E3">
                            <w:pPr>
                              <w:tabs>
                                <w:tab w:val="left" w:pos="8259"/>
                              </w:tabs>
                              <w:spacing w:before="114"/>
                              <w:ind w:left="196"/>
                              <w:rPr>
                                <w:rFonts w:ascii="PMingLiU-ExtB"/>
                                <w:color w:val="000000"/>
                                <w:position w:val="2"/>
                                <w:sz w:val="18"/>
                              </w:rPr>
                            </w:pPr>
                            <w:r>
                              <w:rPr>
                                <w:b/>
                                <w:color w:val="FFFFFF"/>
                                <w:sz w:val="18"/>
                              </w:rPr>
                              <w:t>Burhan</w:t>
                            </w:r>
                            <w:r>
                              <w:rPr>
                                <w:b/>
                                <w:color w:val="FFFFFF"/>
                                <w:spacing w:val="-13"/>
                                <w:sz w:val="18"/>
                              </w:rPr>
                              <w:t xml:space="preserve"> </w:t>
                            </w:r>
                            <w:r>
                              <w:rPr>
                                <w:b/>
                                <w:color w:val="FFFFFF"/>
                                <w:sz w:val="18"/>
                              </w:rPr>
                              <w:t>Sidabariba</w:t>
                            </w:r>
                            <w:r>
                              <w:rPr>
                                <w:b/>
                                <w:color w:val="FFFFFF"/>
                                <w:spacing w:val="-6"/>
                                <w:sz w:val="18"/>
                              </w:rPr>
                              <w:t xml:space="preserve"> </w:t>
                            </w:r>
                            <w:r>
                              <w:rPr>
                                <w:i/>
                                <w:color w:val="FFFFFF"/>
                                <w:sz w:val="18"/>
                              </w:rPr>
                              <w:t>:</w:t>
                            </w:r>
                            <w:r>
                              <w:rPr>
                                <w:i/>
                                <w:color w:val="FFFFFF"/>
                                <w:spacing w:val="-1"/>
                                <w:sz w:val="18"/>
                              </w:rPr>
                              <w:t xml:space="preserve"> </w:t>
                            </w:r>
                            <w:r>
                              <w:rPr>
                                <w:i/>
                                <w:color w:val="FFFFFF"/>
                                <w:sz w:val="18"/>
                              </w:rPr>
                              <w:t>The</w:t>
                            </w:r>
                            <w:r>
                              <w:rPr>
                                <w:i/>
                                <w:color w:val="FFFFFF"/>
                                <w:spacing w:val="-12"/>
                                <w:sz w:val="18"/>
                              </w:rPr>
                              <w:t xml:space="preserve"> </w:t>
                            </w:r>
                            <w:r>
                              <w:rPr>
                                <w:i/>
                                <w:color w:val="FFFFFF"/>
                                <w:sz w:val="18"/>
                              </w:rPr>
                              <w:t>Legal</w:t>
                            </w:r>
                            <w:r>
                              <w:rPr>
                                <w:i/>
                                <w:color w:val="FFFFFF"/>
                                <w:spacing w:val="3"/>
                                <w:sz w:val="18"/>
                              </w:rPr>
                              <w:t xml:space="preserve"> </w:t>
                            </w:r>
                            <w:r>
                              <w:rPr>
                                <w:i/>
                                <w:color w:val="FFFFFF"/>
                                <w:sz w:val="18"/>
                              </w:rPr>
                              <w:t>Framework</w:t>
                            </w:r>
                            <w:r>
                              <w:rPr>
                                <w:i/>
                                <w:color w:val="FFFFFF"/>
                                <w:spacing w:val="-11"/>
                                <w:sz w:val="18"/>
                              </w:rPr>
                              <w:t xml:space="preserve"> </w:t>
                            </w:r>
                            <w:r>
                              <w:rPr>
                                <w:i/>
                                <w:color w:val="FFFFFF"/>
                                <w:sz w:val="18"/>
                              </w:rPr>
                              <w:t>and</w:t>
                            </w:r>
                            <w:r>
                              <w:rPr>
                                <w:i/>
                                <w:color w:val="FFFFFF"/>
                                <w:spacing w:val="-5"/>
                                <w:sz w:val="18"/>
                              </w:rPr>
                              <w:t xml:space="preserve"> </w:t>
                            </w:r>
                            <w:r>
                              <w:rPr>
                                <w:i/>
                                <w:color w:val="FFFFFF"/>
                                <w:sz w:val="18"/>
                              </w:rPr>
                              <w:t>Commitment</w:t>
                            </w:r>
                            <w:r>
                              <w:rPr>
                                <w:i/>
                                <w:color w:val="FFFFFF"/>
                                <w:spacing w:val="-9"/>
                                <w:sz w:val="18"/>
                              </w:rPr>
                              <w:t xml:space="preserve"> </w:t>
                            </w:r>
                            <w:r>
                              <w:rPr>
                                <w:i/>
                                <w:color w:val="FFFFFF"/>
                                <w:sz w:val="18"/>
                              </w:rPr>
                              <w:t>in</w:t>
                            </w:r>
                            <w:r>
                              <w:rPr>
                                <w:i/>
                                <w:color w:val="FFFFFF"/>
                                <w:spacing w:val="-2"/>
                                <w:sz w:val="18"/>
                              </w:rPr>
                              <w:t xml:space="preserve"> </w:t>
                            </w:r>
                            <w:r>
                              <w:rPr>
                                <w:i/>
                                <w:color w:val="FFFFFF"/>
                                <w:sz w:val="18"/>
                              </w:rPr>
                              <w:t>Bank</w:t>
                            </w:r>
                            <w:r>
                              <w:rPr>
                                <w:i/>
                                <w:color w:val="FFFFFF"/>
                                <w:spacing w:val="2"/>
                                <w:sz w:val="18"/>
                              </w:rPr>
                              <w:t xml:space="preserve"> </w:t>
                            </w:r>
                            <w:r>
                              <w:rPr>
                                <w:i/>
                                <w:color w:val="FFFFFF"/>
                                <w:sz w:val="18"/>
                              </w:rPr>
                              <w:t>Credit</w:t>
                            </w:r>
                            <w:r>
                              <w:rPr>
                                <w:i/>
                                <w:color w:val="FFFFFF"/>
                                <w:spacing w:val="4"/>
                                <w:sz w:val="18"/>
                              </w:rPr>
                              <w:t xml:space="preserve"> </w:t>
                            </w:r>
                            <w:r>
                              <w:rPr>
                                <w:i/>
                                <w:color w:val="FFFFFF"/>
                                <w:spacing w:val="-2"/>
                                <w:sz w:val="18"/>
                              </w:rPr>
                              <w:t>Agreements:</w:t>
                            </w:r>
                            <w:r>
                              <w:rPr>
                                <w:i/>
                                <w:color w:val="FFFFFF"/>
                                <w:sz w:val="18"/>
                              </w:rPr>
                              <w:tab/>
                            </w:r>
                            <w:r>
                              <w:rPr>
                                <w:rFonts w:ascii="PMingLiU-ExtB"/>
                                <w:color w:val="FFFFFF"/>
                                <w:spacing w:val="-4"/>
                                <w:position w:val="2"/>
                                <w:sz w:val="18"/>
                              </w:rPr>
                              <w:t>4958</w:t>
                            </w:r>
                          </w:p>
                        </w:txbxContent>
                      </wps:txbx>
                      <wps:bodyPr wrap="square" lIns="0" tIns="0" rIns="0" bIns="0" rtlCol="0">
                        <a:noAutofit/>
                      </wps:bodyPr>
                    </wps:wsp>
                  </a:graphicData>
                </a:graphic>
              </wp:inline>
            </w:drawing>
          </mc:Choice>
          <mc:Fallback>
            <w:pict>
              <v:shape id="Textbox 9" o:spid="_x0000_s1027" type="#_x0000_t202" style="width:461.35pt;height:27.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" fillcolor="#923735">
                <v:path arrowok="t"/>
                <v:textbox inset="0,0,0,0">
                  <w:txbxContent>
                    <w:p w:rsidR="00143FDB" w:rsidRDefault="006A44E3">
                      <w:pPr>
                        <w:tabs>
                          <w:tab w:val="left" w:pos="8259"/>
                        </w:tabs>
                        <w:spacing w:before="114"/>
                        <w:ind w:left="196"/>
                        <w:rPr>
                          <w:rFonts w:ascii="PMingLiU-ExtB"/>
                          <w:color w:val="000000"/>
                          <w:position w:val="2"/>
                          <w:sz w:val="18"/>
                        </w:rPr>
                      </w:pPr>
                      <w:r>
                        <w:rPr>
                          <w:b/>
                          <w:color w:val="FFFFFF"/>
                          <w:sz w:val="18"/>
                        </w:rPr>
                        <w:t>Burhan</w:t>
                      </w:r>
                      <w:r>
                        <w:rPr>
                          <w:b/>
                          <w:color w:val="FFFFFF"/>
                          <w:spacing w:val="-13"/>
                          <w:sz w:val="18"/>
                        </w:rPr>
                        <w:t xml:space="preserve"> </w:t>
                      </w:r>
                      <w:r>
                        <w:rPr>
                          <w:b/>
                          <w:color w:val="FFFFFF"/>
                          <w:sz w:val="18"/>
                        </w:rPr>
                        <w:t>Sidabariba</w:t>
                      </w:r>
                      <w:r>
                        <w:rPr>
                          <w:b/>
                          <w:color w:val="FFFFFF"/>
                          <w:spacing w:val="-6"/>
                          <w:sz w:val="18"/>
                        </w:rPr>
                        <w:t xml:space="preserve"> </w:t>
                      </w:r>
                      <w:r>
                        <w:rPr>
                          <w:i/>
                          <w:color w:val="FFFFFF"/>
                          <w:sz w:val="18"/>
                        </w:rPr>
                        <w:t>:</w:t>
                      </w:r>
                      <w:r>
                        <w:rPr>
                          <w:i/>
                          <w:color w:val="FFFFFF"/>
                          <w:spacing w:val="-1"/>
                          <w:sz w:val="18"/>
                        </w:rPr>
                        <w:t xml:space="preserve"> </w:t>
                      </w:r>
                      <w:r>
                        <w:rPr>
                          <w:i/>
                          <w:color w:val="FFFFFF"/>
                          <w:sz w:val="18"/>
                        </w:rPr>
                        <w:t>The</w:t>
                      </w:r>
                      <w:r>
                        <w:rPr>
                          <w:i/>
                          <w:color w:val="FFFFFF"/>
                          <w:spacing w:val="-12"/>
                          <w:sz w:val="18"/>
                        </w:rPr>
                        <w:t xml:space="preserve"> </w:t>
                      </w:r>
                      <w:r>
                        <w:rPr>
                          <w:i/>
                          <w:color w:val="FFFFFF"/>
                          <w:sz w:val="18"/>
                        </w:rPr>
                        <w:t>Legal</w:t>
                      </w:r>
                      <w:r>
                        <w:rPr>
                          <w:i/>
                          <w:color w:val="FFFFFF"/>
                          <w:spacing w:val="3"/>
                          <w:sz w:val="18"/>
                        </w:rPr>
                        <w:t xml:space="preserve"> </w:t>
                      </w:r>
                      <w:r>
                        <w:rPr>
                          <w:i/>
                          <w:color w:val="FFFFFF"/>
                          <w:sz w:val="18"/>
                        </w:rPr>
                        <w:t>Framework</w:t>
                      </w:r>
                      <w:r>
                        <w:rPr>
                          <w:i/>
                          <w:color w:val="FFFFFF"/>
                          <w:spacing w:val="-11"/>
                          <w:sz w:val="18"/>
                        </w:rPr>
                        <w:t xml:space="preserve"> </w:t>
                      </w:r>
                      <w:r>
                        <w:rPr>
                          <w:i/>
                          <w:color w:val="FFFFFF"/>
                          <w:sz w:val="18"/>
                        </w:rPr>
                        <w:t>and</w:t>
                      </w:r>
                      <w:r>
                        <w:rPr>
                          <w:i/>
                          <w:color w:val="FFFFFF"/>
                          <w:spacing w:val="-5"/>
                          <w:sz w:val="18"/>
                        </w:rPr>
                        <w:t xml:space="preserve"> </w:t>
                      </w:r>
                      <w:r>
                        <w:rPr>
                          <w:i/>
                          <w:color w:val="FFFFFF"/>
                          <w:sz w:val="18"/>
                        </w:rPr>
                        <w:t>Commitment</w:t>
                      </w:r>
                      <w:r>
                        <w:rPr>
                          <w:i/>
                          <w:color w:val="FFFFFF"/>
                          <w:spacing w:val="-9"/>
                          <w:sz w:val="18"/>
                        </w:rPr>
                        <w:t xml:space="preserve"> </w:t>
                      </w:r>
                      <w:r>
                        <w:rPr>
                          <w:i/>
                          <w:color w:val="FFFFFF"/>
                          <w:sz w:val="18"/>
                        </w:rPr>
                        <w:t>in</w:t>
                      </w:r>
                      <w:r>
                        <w:rPr>
                          <w:i/>
                          <w:color w:val="FFFFFF"/>
                          <w:spacing w:val="-2"/>
                          <w:sz w:val="18"/>
                        </w:rPr>
                        <w:t xml:space="preserve"> </w:t>
                      </w:r>
                      <w:r>
                        <w:rPr>
                          <w:i/>
                          <w:color w:val="FFFFFF"/>
                          <w:sz w:val="18"/>
                        </w:rPr>
                        <w:t>Bank</w:t>
                      </w:r>
                      <w:r>
                        <w:rPr>
                          <w:i/>
                          <w:color w:val="FFFFFF"/>
                          <w:spacing w:val="2"/>
                          <w:sz w:val="18"/>
                        </w:rPr>
                        <w:t xml:space="preserve"> </w:t>
                      </w:r>
                      <w:r>
                        <w:rPr>
                          <w:i/>
                          <w:color w:val="FFFFFF"/>
                          <w:sz w:val="18"/>
                        </w:rPr>
                        <w:t>Credit</w:t>
                      </w:r>
                      <w:r>
                        <w:rPr>
                          <w:i/>
                          <w:color w:val="FFFFFF"/>
                          <w:spacing w:val="4"/>
                          <w:sz w:val="18"/>
                        </w:rPr>
                        <w:t xml:space="preserve"> </w:t>
                      </w:r>
                      <w:r>
                        <w:rPr>
                          <w:i/>
                          <w:color w:val="FFFFFF"/>
                          <w:spacing w:val="-2"/>
                          <w:sz w:val="18"/>
                        </w:rPr>
                        <w:t>Agreements:</w:t>
                      </w:r>
                      <w:r>
                        <w:rPr>
                          <w:i/>
                          <w:color w:val="FFFFFF"/>
                          <w:sz w:val="18"/>
                        </w:rPr>
                        <w:tab/>
                      </w:r>
                      <w:r>
                        <w:rPr>
                          <w:rFonts w:ascii="PMingLiU-ExtB"/>
                          <w:color w:val="FFFFFF"/>
                          <w:spacing w:val="-4"/>
                          <w:position w:val="2"/>
                          <w:sz w:val="18"/>
                        </w:rPr>
                        <w:t>4958</w:t>
                      </w:r>
                    </w:p>
                  </w:txbxContent>
                </v:textbox>
                <w10:anchorlock/>
              </v:shape>
            </w:pict>
          </mc:Fallback>
        </mc:AlternateContent>
      </w:r>
    </w:p>
    <w:p w:rsidR="00143FDB" w:rsidRDefault="00143FDB">
      <w:pPr>
        <w:pStyle w:val="BodyText"/>
        <w:jc w:val="left"/>
        <w:rPr>
          <w:rFonts w:ascii="Cambria"/>
          <w:sz w:val="20"/>
        </w:rPr>
        <w:sectPr w:rsidR="00143FDB">
          <w:headerReference w:type="default" r:id="rId8"/>
          <w:type w:val="continuous"/>
          <w:pgSz w:w="11920" w:h="16860"/>
          <w:pgMar w:top="1460" w:right="1133" w:bottom="280" w:left="1133" w:header="282" w:footer="0" w:gutter="0"/>
          <w:pgNumType w:start="1"/>
          <w:cols w:space="720"/>
        </w:sectPr>
      </w:pPr>
    </w:p>
    <w:p w:rsidR="00143FDB" w:rsidRDefault="00143FDB">
      <w:pPr>
        <w:pStyle w:val="BodyText"/>
        <w:spacing w:before="102"/>
        <w:ind w:left="0"/>
        <w:jc w:val="left"/>
        <w:rPr>
          <w:rFonts w:ascii="Cambria"/>
          <w:i/>
          <w:sz w:val="24"/>
        </w:rPr>
      </w:pPr>
    </w:p>
    <w:p w:rsidR="00143FDB" w:rsidRDefault="006A44E3">
      <w:pPr>
        <w:pStyle w:val="Heading1"/>
        <w:spacing w:before="1"/>
        <w:ind w:left="113"/>
      </w:pPr>
      <w:r>
        <w:rPr>
          <w:spacing w:val="-2"/>
        </w:rPr>
        <w:t>INTRODUCTION</w:t>
      </w:r>
    </w:p>
    <w:p w:rsidR="00143FDB" w:rsidRDefault="006A44E3">
      <w:pPr>
        <w:pStyle w:val="BodyText"/>
        <w:spacing w:before="23" w:line="278" w:lineRule="auto"/>
        <w:ind w:right="72" w:firstLine="540"/>
      </w:pPr>
      <w:r>
        <w:t>Indonesia,</w:t>
      </w:r>
      <w:r>
        <w:rPr>
          <w:spacing w:val="-14"/>
        </w:rPr>
        <w:t xml:space="preserve"> </w:t>
      </w:r>
      <w:r>
        <w:t>as</w:t>
      </w:r>
      <w:r>
        <w:rPr>
          <w:spacing w:val="-12"/>
        </w:rPr>
        <w:t xml:space="preserve"> </w:t>
      </w:r>
      <w:r>
        <w:t>a</w:t>
      </w:r>
      <w:r>
        <w:rPr>
          <w:spacing w:val="-14"/>
        </w:rPr>
        <w:t xml:space="preserve"> </w:t>
      </w:r>
      <w:r>
        <w:t>constitutional</w:t>
      </w:r>
      <w:r>
        <w:rPr>
          <w:spacing w:val="-9"/>
        </w:rPr>
        <w:t xml:space="preserve"> </w:t>
      </w:r>
      <w:r>
        <w:t>state</w:t>
      </w:r>
      <w:r>
        <w:rPr>
          <w:spacing w:val="-11"/>
        </w:rPr>
        <w:t xml:space="preserve"> </w:t>
      </w:r>
      <w:r>
        <w:t>governed</w:t>
      </w:r>
      <w:r>
        <w:rPr>
          <w:spacing w:val="-11"/>
        </w:rPr>
        <w:t xml:space="preserve"> </w:t>
      </w:r>
      <w:r>
        <w:t>by</w:t>
      </w:r>
      <w:r>
        <w:rPr>
          <w:spacing w:val="-14"/>
        </w:rPr>
        <w:t xml:space="preserve"> </w:t>
      </w:r>
      <w:r>
        <w:t>the</w:t>
      </w:r>
      <w:r>
        <w:rPr>
          <w:spacing w:val="-11"/>
        </w:rPr>
        <w:t xml:space="preserve"> </w:t>
      </w:r>
      <w:r>
        <w:rPr>
          <w:i/>
        </w:rPr>
        <w:t>rechtstaat</w:t>
      </w:r>
      <w:r>
        <w:rPr>
          <w:i/>
          <w:spacing w:val="-10"/>
        </w:rPr>
        <w:t xml:space="preserve"> </w:t>
      </w:r>
      <w:r>
        <w:t>principle,</w:t>
      </w:r>
      <w:r>
        <w:rPr>
          <w:spacing w:val="-6"/>
        </w:rPr>
        <w:t xml:space="preserve"> </w:t>
      </w:r>
      <w:r>
        <w:t>guarantees</w:t>
      </w:r>
      <w:r>
        <w:rPr>
          <w:spacing w:val="-11"/>
        </w:rPr>
        <w:t xml:space="preserve"> </w:t>
      </w:r>
      <w:r>
        <w:t>equality</w:t>
      </w:r>
      <w:r>
        <w:rPr>
          <w:spacing w:val="12"/>
        </w:rPr>
        <w:t xml:space="preserve"> </w:t>
      </w:r>
      <w:r>
        <w:t>before</w:t>
      </w:r>
      <w:r>
        <w:rPr>
          <w:spacing w:val="-14"/>
        </w:rPr>
        <w:t xml:space="preserve"> </w:t>
      </w:r>
      <w:r>
        <w:t>the law</w:t>
      </w:r>
      <w:r>
        <w:rPr>
          <w:spacing w:val="-10"/>
        </w:rPr>
        <w:t xml:space="preserve"> </w:t>
      </w:r>
      <w:r>
        <w:t>and</w:t>
      </w:r>
      <w:r>
        <w:rPr>
          <w:spacing w:val="-9"/>
        </w:rPr>
        <w:t xml:space="preserve"> </w:t>
      </w:r>
      <w:r>
        <w:t>positions</w:t>
      </w:r>
      <w:r>
        <w:rPr>
          <w:spacing w:val="24"/>
        </w:rPr>
        <w:t xml:space="preserve"> </w:t>
      </w:r>
      <w:r>
        <w:t>legal</w:t>
      </w:r>
      <w:r>
        <w:rPr>
          <w:spacing w:val="-2"/>
        </w:rPr>
        <w:t xml:space="preserve"> </w:t>
      </w:r>
      <w:r>
        <w:t>supremacy</w:t>
      </w:r>
      <w:r>
        <w:rPr>
          <w:spacing w:val="-11"/>
        </w:rPr>
        <w:t xml:space="preserve"> </w:t>
      </w:r>
      <w:r>
        <w:t>as</w:t>
      </w:r>
      <w:r>
        <w:rPr>
          <w:spacing w:val="-9"/>
        </w:rPr>
        <w:t xml:space="preserve"> </w:t>
      </w:r>
      <w:r>
        <w:t>the</w:t>
      </w:r>
      <w:r>
        <w:rPr>
          <w:spacing w:val="-7"/>
        </w:rPr>
        <w:t xml:space="preserve"> </w:t>
      </w:r>
      <w:r>
        <w:t>foundation</w:t>
      </w:r>
      <w:r>
        <w:rPr>
          <w:spacing w:val="14"/>
        </w:rPr>
        <w:t xml:space="preserve"> </w:t>
      </w:r>
      <w:r>
        <w:t>of</w:t>
      </w:r>
      <w:r>
        <w:rPr>
          <w:spacing w:val="-4"/>
        </w:rPr>
        <w:t xml:space="preserve"> </w:t>
      </w:r>
      <w:r>
        <w:t>state</w:t>
      </w:r>
      <w:r>
        <w:rPr>
          <w:spacing w:val="-9"/>
        </w:rPr>
        <w:t xml:space="preserve"> </w:t>
      </w:r>
      <w:r>
        <w:t>governance</w:t>
      </w:r>
      <w:r>
        <w:rPr>
          <w:spacing w:val="-4"/>
        </w:rPr>
        <w:t xml:space="preserve"> </w:t>
      </w:r>
      <w:r>
        <w:t>(Nuer</w:t>
      </w:r>
      <w:r>
        <w:rPr>
          <w:spacing w:val="-7"/>
        </w:rPr>
        <w:t xml:space="preserve"> </w:t>
      </w:r>
      <w:r>
        <w:t>et</w:t>
      </w:r>
      <w:r>
        <w:rPr>
          <w:spacing w:val="-8"/>
        </w:rPr>
        <w:t xml:space="preserve"> </w:t>
      </w:r>
      <w:r>
        <w:t>al.,</w:t>
      </w:r>
      <w:r>
        <w:rPr>
          <w:spacing w:val="-7"/>
        </w:rPr>
        <w:t xml:space="preserve"> </w:t>
      </w:r>
      <w:r>
        <w:t>2021;</w:t>
      </w:r>
      <w:r>
        <w:rPr>
          <w:spacing w:val="-4"/>
        </w:rPr>
        <w:t xml:space="preserve"> </w:t>
      </w:r>
      <w:r>
        <w:t>Trisiana,</w:t>
      </w:r>
      <w:r>
        <w:rPr>
          <w:spacing w:val="-7"/>
        </w:rPr>
        <w:t xml:space="preserve"> </w:t>
      </w:r>
      <w:r>
        <w:t>2020). The framework of its legal system is designed to guarantee justice, maintain legal order, and safeguard individual</w:t>
      </w:r>
      <w:r>
        <w:rPr>
          <w:spacing w:val="-14"/>
        </w:rPr>
        <w:t xml:space="preserve"> </w:t>
      </w:r>
      <w:r>
        <w:t>rights</w:t>
      </w:r>
      <w:r>
        <w:rPr>
          <w:spacing w:val="-14"/>
        </w:rPr>
        <w:t xml:space="preserve"> </w:t>
      </w:r>
      <w:r>
        <w:t>in</w:t>
      </w:r>
      <w:r>
        <w:rPr>
          <w:spacing w:val="-14"/>
        </w:rPr>
        <w:t xml:space="preserve"> </w:t>
      </w:r>
      <w:r>
        <w:t>both</w:t>
      </w:r>
      <w:r>
        <w:rPr>
          <w:spacing w:val="-13"/>
        </w:rPr>
        <w:t xml:space="preserve"> </w:t>
      </w:r>
      <w:r>
        <w:t>public</w:t>
      </w:r>
      <w:r>
        <w:rPr>
          <w:spacing w:val="-14"/>
        </w:rPr>
        <w:t xml:space="preserve"> </w:t>
      </w:r>
      <w:r>
        <w:t>and</w:t>
      </w:r>
      <w:r>
        <w:rPr>
          <w:spacing w:val="-14"/>
        </w:rPr>
        <w:t xml:space="preserve"> </w:t>
      </w:r>
      <w:r>
        <w:t>private</w:t>
      </w:r>
      <w:r>
        <w:rPr>
          <w:spacing w:val="-14"/>
        </w:rPr>
        <w:t xml:space="preserve"> </w:t>
      </w:r>
      <w:r>
        <w:t>interactions</w:t>
      </w:r>
      <w:r>
        <w:rPr>
          <w:spacing w:val="-13"/>
        </w:rPr>
        <w:t xml:space="preserve"> </w:t>
      </w:r>
      <w:r>
        <w:t>(Natamiharja</w:t>
      </w:r>
      <w:r>
        <w:rPr>
          <w:spacing w:val="-14"/>
        </w:rPr>
        <w:t xml:space="preserve"> </w:t>
      </w:r>
      <w:r>
        <w:t>et</w:t>
      </w:r>
      <w:r>
        <w:rPr>
          <w:spacing w:val="-14"/>
        </w:rPr>
        <w:t xml:space="preserve"> </w:t>
      </w:r>
      <w:r>
        <w:t>al.,</w:t>
      </w:r>
      <w:r>
        <w:rPr>
          <w:spacing w:val="-14"/>
        </w:rPr>
        <w:t xml:space="preserve"> </w:t>
      </w:r>
      <w:r>
        <w:t>2022).</w:t>
      </w:r>
      <w:r>
        <w:rPr>
          <w:spacing w:val="-13"/>
        </w:rPr>
        <w:t xml:space="preserve"> </w:t>
      </w:r>
      <w:r>
        <w:t>This</w:t>
      </w:r>
      <w:r>
        <w:rPr>
          <w:spacing w:val="-14"/>
        </w:rPr>
        <w:t xml:space="preserve"> </w:t>
      </w:r>
      <w:r>
        <w:t>normative</w:t>
      </w:r>
      <w:r>
        <w:rPr>
          <w:spacing w:val="-14"/>
        </w:rPr>
        <w:t xml:space="preserve"> </w:t>
      </w:r>
      <w:r>
        <w:t>orientation requires that financial legal instruments</w:t>
      </w:r>
      <w:r>
        <w:rPr>
          <w:spacing w:val="40"/>
        </w:rPr>
        <w:t xml:space="preserve"> </w:t>
      </w:r>
      <w:r>
        <w:t>operate within</w:t>
      </w:r>
      <w:r>
        <w:rPr>
          <w:spacing w:val="40"/>
        </w:rPr>
        <w:t xml:space="preserve"> </w:t>
      </w:r>
      <w:r>
        <w:t>a system of accountability</w:t>
      </w:r>
      <w:r>
        <w:rPr>
          <w:spacing w:val="40"/>
        </w:rPr>
        <w:t xml:space="preserve"> </w:t>
      </w:r>
      <w:r>
        <w:t>and fairness.</w:t>
      </w:r>
    </w:p>
    <w:p w:rsidR="00143FDB" w:rsidRDefault="006A44E3">
      <w:pPr>
        <w:pStyle w:val="BodyText"/>
        <w:spacing w:line="278" w:lineRule="auto"/>
        <w:ind w:right="51" w:firstLine="540"/>
      </w:pPr>
      <w:r>
        <w:t>The</w:t>
      </w:r>
      <w:r>
        <w:rPr>
          <w:spacing w:val="-7"/>
        </w:rPr>
        <w:t xml:space="preserve"> </w:t>
      </w:r>
      <w:r>
        <w:t>theory</w:t>
      </w:r>
      <w:r>
        <w:rPr>
          <w:spacing w:val="-3"/>
        </w:rPr>
        <w:t xml:space="preserve"> </w:t>
      </w:r>
      <w:r>
        <w:t>of</w:t>
      </w:r>
      <w:r>
        <w:rPr>
          <w:spacing w:val="-1"/>
        </w:rPr>
        <w:t xml:space="preserve"> </w:t>
      </w:r>
      <w:r>
        <w:t>legal protection underscores</w:t>
      </w:r>
      <w:r>
        <w:rPr>
          <w:spacing w:val="-4"/>
        </w:rPr>
        <w:t xml:space="preserve"> </w:t>
      </w:r>
      <w:r>
        <w:t>the</w:t>
      </w:r>
      <w:r>
        <w:rPr>
          <w:spacing w:val="-4"/>
        </w:rPr>
        <w:t xml:space="preserve"> </w:t>
      </w:r>
      <w:r>
        <w:t>necessity</w:t>
      </w:r>
      <w:r>
        <w:rPr>
          <w:spacing w:val="-7"/>
        </w:rPr>
        <w:t xml:space="preserve"> </w:t>
      </w:r>
      <w:r>
        <w:t>of</w:t>
      </w:r>
      <w:r>
        <w:rPr>
          <w:spacing w:val="-1"/>
        </w:rPr>
        <w:t xml:space="preserve"> </w:t>
      </w:r>
      <w:r>
        <w:t>defending</w:t>
      </w:r>
      <w:r>
        <w:rPr>
          <w:spacing w:val="-3"/>
        </w:rPr>
        <w:t xml:space="preserve"> </w:t>
      </w:r>
      <w:r>
        <w:t>individuals</w:t>
      </w:r>
      <w:r>
        <w:rPr>
          <w:spacing w:val="38"/>
        </w:rPr>
        <w:t xml:space="preserve"> </w:t>
      </w:r>
      <w:r>
        <w:t>and</w:t>
      </w:r>
      <w:r>
        <w:rPr>
          <w:spacing w:val="-4"/>
        </w:rPr>
        <w:t xml:space="preserve"> </w:t>
      </w:r>
      <w:r>
        <w:t>groups</w:t>
      </w:r>
      <w:r>
        <w:rPr>
          <w:spacing w:val="-2"/>
        </w:rPr>
        <w:t xml:space="preserve"> </w:t>
      </w:r>
      <w:r>
        <w:t>who</w:t>
      </w:r>
      <w:r>
        <w:rPr>
          <w:spacing w:val="-9"/>
        </w:rPr>
        <w:t xml:space="preserve"> </w:t>
      </w:r>
      <w:r>
        <w:t>are socially</w:t>
      </w:r>
      <w:r>
        <w:rPr>
          <w:spacing w:val="-3"/>
        </w:rPr>
        <w:t xml:space="preserve"> </w:t>
      </w:r>
      <w:r>
        <w:t>or</w:t>
      </w:r>
      <w:r>
        <w:rPr>
          <w:spacing w:val="-5"/>
        </w:rPr>
        <w:t xml:space="preserve"> </w:t>
      </w:r>
      <w:r>
        <w:t>economically</w:t>
      </w:r>
      <w:r>
        <w:rPr>
          <w:spacing w:val="-3"/>
        </w:rPr>
        <w:t xml:space="preserve"> </w:t>
      </w:r>
      <w:r>
        <w:t>marginalized within</w:t>
      </w:r>
      <w:r>
        <w:rPr>
          <w:spacing w:val="-2"/>
        </w:rPr>
        <w:t xml:space="preserve"> </w:t>
      </w:r>
      <w:r>
        <w:t>legal</w:t>
      </w:r>
      <w:r>
        <w:rPr>
          <w:spacing w:val="-4"/>
        </w:rPr>
        <w:t xml:space="preserve"> </w:t>
      </w:r>
      <w:r>
        <w:t>frameworks</w:t>
      </w:r>
      <w:r>
        <w:rPr>
          <w:spacing w:val="-5"/>
        </w:rPr>
        <w:t xml:space="preserve"> </w:t>
      </w:r>
      <w:r>
        <w:t>(Limante,</w:t>
      </w:r>
      <w:r>
        <w:rPr>
          <w:spacing w:val="-5"/>
        </w:rPr>
        <w:t xml:space="preserve"> </w:t>
      </w:r>
      <w:r>
        <w:t>2024).</w:t>
      </w:r>
      <w:r>
        <w:rPr>
          <w:spacing w:val="-8"/>
        </w:rPr>
        <w:t xml:space="preserve"> </w:t>
      </w:r>
      <w:r>
        <w:t>This</w:t>
      </w:r>
      <w:r>
        <w:rPr>
          <w:spacing w:val="-1"/>
        </w:rPr>
        <w:t xml:space="preserve"> </w:t>
      </w:r>
      <w:r>
        <w:t>notion</w:t>
      </w:r>
      <w:r>
        <w:rPr>
          <w:spacing w:val="-2"/>
        </w:rPr>
        <w:t xml:space="preserve"> </w:t>
      </w:r>
      <w:r>
        <w:t>is</w:t>
      </w:r>
      <w:r>
        <w:rPr>
          <w:spacing w:val="-5"/>
        </w:rPr>
        <w:t xml:space="preserve"> </w:t>
      </w:r>
      <w:r>
        <w:t>ingrained</w:t>
      </w:r>
      <w:r>
        <w:rPr>
          <w:spacing w:val="-2"/>
        </w:rPr>
        <w:t xml:space="preserve"> </w:t>
      </w:r>
      <w:r>
        <w:t>in the</w:t>
      </w:r>
      <w:r>
        <w:rPr>
          <w:spacing w:val="-11"/>
        </w:rPr>
        <w:t xml:space="preserve"> </w:t>
      </w:r>
      <w:r>
        <w:t>state's</w:t>
      </w:r>
      <w:r>
        <w:rPr>
          <w:spacing w:val="-11"/>
        </w:rPr>
        <w:t xml:space="preserve"> </w:t>
      </w:r>
      <w:r>
        <w:t>duty</w:t>
      </w:r>
      <w:r>
        <w:rPr>
          <w:spacing w:val="-14"/>
        </w:rPr>
        <w:t xml:space="preserve"> </w:t>
      </w:r>
      <w:r>
        <w:t>to</w:t>
      </w:r>
      <w:r>
        <w:rPr>
          <w:spacing w:val="-9"/>
        </w:rPr>
        <w:t xml:space="preserve"> </w:t>
      </w:r>
      <w:r>
        <w:t>furnish</w:t>
      </w:r>
      <w:r>
        <w:rPr>
          <w:spacing w:val="-10"/>
        </w:rPr>
        <w:t xml:space="preserve"> </w:t>
      </w:r>
      <w:r>
        <w:t>proportional</w:t>
      </w:r>
      <w:r>
        <w:rPr>
          <w:spacing w:val="-8"/>
        </w:rPr>
        <w:t xml:space="preserve"> </w:t>
      </w:r>
      <w:r>
        <w:t>and</w:t>
      </w:r>
      <w:r>
        <w:rPr>
          <w:spacing w:val="-11"/>
        </w:rPr>
        <w:t xml:space="preserve"> </w:t>
      </w:r>
      <w:r>
        <w:t>equitable</w:t>
      </w:r>
      <w:r>
        <w:rPr>
          <w:spacing w:val="-6"/>
        </w:rPr>
        <w:t xml:space="preserve"> </w:t>
      </w:r>
      <w:r>
        <w:t>legal</w:t>
      </w:r>
      <w:r>
        <w:rPr>
          <w:spacing w:val="-8"/>
        </w:rPr>
        <w:t xml:space="preserve"> </w:t>
      </w:r>
      <w:r>
        <w:t>protections</w:t>
      </w:r>
      <w:r>
        <w:rPr>
          <w:spacing w:val="-6"/>
        </w:rPr>
        <w:t xml:space="preserve"> </w:t>
      </w:r>
      <w:r>
        <w:t>via</w:t>
      </w:r>
      <w:r>
        <w:rPr>
          <w:spacing w:val="-6"/>
        </w:rPr>
        <w:t xml:space="preserve"> </w:t>
      </w:r>
      <w:r>
        <w:t>enforceable</w:t>
      </w:r>
      <w:r>
        <w:rPr>
          <w:spacing w:val="-10"/>
        </w:rPr>
        <w:t xml:space="preserve"> </w:t>
      </w:r>
      <w:r>
        <w:t>regulatory</w:t>
      </w:r>
      <w:r>
        <w:rPr>
          <w:spacing w:val="-11"/>
        </w:rPr>
        <w:t xml:space="preserve"> </w:t>
      </w:r>
      <w:r>
        <w:t>frameworks (Warjiyati et</w:t>
      </w:r>
      <w:r>
        <w:rPr>
          <w:spacing w:val="-3"/>
        </w:rPr>
        <w:t xml:space="preserve"> </w:t>
      </w:r>
      <w:r>
        <w:t>al.,</w:t>
      </w:r>
      <w:r>
        <w:rPr>
          <w:spacing w:val="-1"/>
        </w:rPr>
        <w:t xml:space="preserve"> </w:t>
      </w:r>
      <w:r>
        <w:t>2022).</w:t>
      </w:r>
      <w:r>
        <w:rPr>
          <w:spacing w:val="-1"/>
        </w:rPr>
        <w:t xml:space="preserve"> </w:t>
      </w:r>
      <w:r>
        <w:t>The</w:t>
      </w:r>
      <w:r>
        <w:rPr>
          <w:spacing w:val="-4"/>
        </w:rPr>
        <w:t xml:space="preserve"> </w:t>
      </w:r>
      <w:r>
        <w:t>legal</w:t>
      </w:r>
      <w:r>
        <w:rPr>
          <w:spacing w:val="-2"/>
        </w:rPr>
        <w:t xml:space="preserve"> </w:t>
      </w:r>
      <w:r>
        <w:t>structure</w:t>
      </w:r>
      <w:r>
        <w:rPr>
          <w:spacing w:val="-7"/>
        </w:rPr>
        <w:t xml:space="preserve"> </w:t>
      </w:r>
      <w:r>
        <w:t>of</w:t>
      </w:r>
      <w:r>
        <w:rPr>
          <w:spacing w:val="-2"/>
        </w:rPr>
        <w:t xml:space="preserve"> </w:t>
      </w:r>
      <w:r>
        <w:t>credit</w:t>
      </w:r>
      <w:r>
        <w:rPr>
          <w:spacing w:val="-2"/>
        </w:rPr>
        <w:t xml:space="preserve"> </w:t>
      </w:r>
      <w:r>
        <w:t>transactions must demonstrate</w:t>
      </w:r>
      <w:r>
        <w:rPr>
          <w:spacing w:val="-4"/>
        </w:rPr>
        <w:t xml:space="preserve"> </w:t>
      </w:r>
      <w:r>
        <w:t>institutional</w:t>
      </w:r>
      <w:r>
        <w:rPr>
          <w:spacing w:val="36"/>
        </w:rPr>
        <w:t xml:space="preserve"> </w:t>
      </w:r>
      <w:r>
        <w:t>response</w:t>
      </w:r>
      <w:r>
        <w:rPr>
          <w:spacing w:val="-11"/>
        </w:rPr>
        <w:t xml:space="preserve"> </w:t>
      </w:r>
      <w:r>
        <w:t>to unequal power dynamics.</w:t>
      </w:r>
    </w:p>
    <w:p w:rsidR="00143FDB" w:rsidRDefault="006A44E3">
      <w:pPr>
        <w:pStyle w:val="BodyText"/>
        <w:spacing w:line="278" w:lineRule="auto"/>
        <w:ind w:right="64" w:firstLine="540"/>
      </w:pPr>
      <w:r>
        <w:t>Preventive legal protection enables individuals</w:t>
      </w:r>
      <w:r>
        <w:rPr>
          <w:spacing w:val="35"/>
        </w:rPr>
        <w:t xml:space="preserve"> </w:t>
      </w:r>
      <w:r>
        <w:t>to engage in or contest administrative</w:t>
      </w:r>
      <w:r>
        <w:rPr>
          <w:spacing w:val="37"/>
        </w:rPr>
        <w:t xml:space="preserve"> </w:t>
      </w:r>
      <w:r>
        <w:t>actions before their</w:t>
      </w:r>
      <w:r>
        <w:rPr>
          <w:spacing w:val="-7"/>
        </w:rPr>
        <w:t xml:space="preserve"> </w:t>
      </w:r>
      <w:r>
        <w:t>official</w:t>
      </w:r>
      <w:r>
        <w:rPr>
          <w:spacing w:val="-2"/>
        </w:rPr>
        <w:t xml:space="preserve"> </w:t>
      </w:r>
      <w:r>
        <w:t>implementation</w:t>
      </w:r>
      <w:r>
        <w:rPr>
          <w:spacing w:val="22"/>
        </w:rPr>
        <w:t xml:space="preserve"> </w:t>
      </w:r>
      <w:r>
        <w:t>(Risal,</w:t>
      </w:r>
      <w:r>
        <w:rPr>
          <w:spacing w:val="-1"/>
        </w:rPr>
        <w:t xml:space="preserve"> </w:t>
      </w:r>
      <w:r>
        <w:t>2024),</w:t>
      </w:r>
      <w:r>
        <w:rPr>
          <w:spacing w:val="-5"/>
        </w:rPr>
        <w:t xml:space="preserve"> </w:t>
      </w:r>
      <w:r>
        <w:t>whereas</w:t>
      </w:r>
      <w:r>
        <w:rPr>
          <w:spacing w:val="-8"/>
        </w:rPr>
        <w:t xml:space="preserve"> </w:t>
      </w:r>
      <w:r>
        <w:t>repressive</w:t>
      </w:r>
      <w:r>
        <w:rPr>
          <w:spacing w:val="-7"/>
        </w:rPr>
        <w:t xml:space="preserve"> </w:t>
      </w:r>
      <w:r>
        <w:t>legal</w:t>
      </w:r>
      <w:r>
        <w:rPr>
          <w:spacing w:val="-8"/>
        </w:rPr>
        <w:t xml:space="preserve"> </w:t>
      </w:r>
      <w:r>
        <w:t>prot</w:t>
      </w:r>
      <w:r>
        <w:t>ection</w:t>
      </w:r>
      <w:r>
        <w:rPr>
          <w:spacing w:val="-2"/>
        </w:rPr>
        <w:t xml:space="preserve"> </w:t>
      </w:r>
      <w:r>
        <w:t>provides legal remedies</w:t>
      </w:r>
      <w:r>
        <w:rPr>
          <w:spacing w:val="-9"/>
        </w:rPr>
        <w:t xml:space="preserve"> </w:t>
      </w:r>
      <w:r>
        <w:t>and restitution</w:t>
      </w:r>
      <w:r>
        <w:rPr>
          <w:spacing w:val="-7"/>
        </w:rPr>
        <w:t xml:space="preserve"> </w:t>
      </w:r>
      <w:r>
        <w:t>options</w:t>
      </w:r>
      <w:r>
        <w:rPr>
          <w:spacing w:val="-1"/>
        </w:rPr>
        <w:t xml:space="preserve"> </w:t>
      </w:r>
      <w:r>
        <w:t>following</w:t>
      </w:r>
      <w:r>
        <w:rPr>
          <w:spacing w:val="24"/>
        </w:rPr>
        <w:t xml:space="preserve"> </w:t>
      </w:r>
      <w:r>
        <w:t>rights violations</w:t>
      </w:r>
      <w:r>
        <w:rPr>
          <w:spacing w:val="35"/>
        </w:rPr>
        <w:t xml:space="preserve"> </w:t>
      </w:r>
      <w:r>
        <w:t>(Alauddin et</w:t>
      </w:r>
      <w:r>
        <w:rPr>
          <w:spacing w:val="-6"/>
        </w:rPr>
        <w:t xml:space="preserve"> </w:t>
      </w:r>
      <w:r>
        <w:t>al.,</w:t>
      </w:r>
      <w:r>
        <w:rPr>
          <w:spacing w:val="-5"/>
        </w:rPr>
        <w:t xml:space="preserve"> </w:t>
      </w:r>
      <w:r>
        <w:t>2021).</w:t>
      </w:r>
      <w:r>
        <w:rPr>
          <w:spacing w:val="-3"/>
        </w:rPr>
        <w:t xml:space="preserve"> </w:t>
      </w:r>
      <w:r>
        <w:t>Both</w:t>
      </w:r>
      <w:r>
        <w:rPr>
          <w:spacing w:val="-3"/>
        </w:rPr>
        <w:t xml:space="preserve"> </w:t>
      </w:r>
      <w:r>
        <w:t>characteristics</w:t>
      </w:r>
      <w:r>
        <w:rPr>
          <w:spacing w:val="-7"/>
        </w:rPr>
        <w:t xml:space="preserve"> </w:t>
      </w:r>
      <w:r>
        <w:t>are</w:t>
      </w:r>
      <w:r>
        <w:rPr>
          <w:spacing w:val="-8"/>
        </w:rPr>
        <w:t xml:space="preserve"> </w:t>
      </w:r>
      <w:r>
        <w:t>key</w:t>
      </w:r>
      <w:r>
        <w:rPr>
          <w:spacing w:val="-13"/>
        </w:rPr>
        <w:t xml:space="preserve"> </w:t>
      </w:r>
      <w:r>
        <w:t>elements of an operational legal system that seeks justice and openness. Their incorporation into commercial and financ</w:t>
      </w:r>
      <w:r>
        <w:t>ial law is essential for preserving legal certainty in creditor-debtor relationships.</w:t>
      </w:r>
    </w:p>
    <w:p w:rsidR="00143FDB" w:rsidRDefault="006A44E3">
      <w:pPr>
        <w:pStyle w:val="BodyText"/>
        <w:spacing w:line="278" w:lineRule="auto"/>
        <w:ind w:right="56" w:firstLine="540"/>
      </w:pPr>
      <w:r>
        <w:t>The legal connection between banks and clients is primarily regulated by contract, with both private deeds</w:t>
      </w:r>
      <w:r>
        <w:rPr>
          <w:spacing w:val="-12"/>
        </w:rPr>
        <w:t xml:space="preserve"> </w:t>
      </w:r>
      <w:r>
        <w:t>and</w:t>
      </w:r>
      <w:r>
        <w:rPr>
          <w:spacing w:val="-13"/>
        </w:rPr>
        <w:t xml:space="preserve"> </w:t>
      </w:r>
      <w:r>
        <w:t>authentic</w:t>
      </w:r>
      <w:r>
        <w:rPr>
          <w:spacing w:val="-10"/>
        </w:rPr>
        <w:t xml:space="preserve"> </w:t>
      </w:r>
      <w:r>
        <w:t>notarial</w:t>
      </w:r>
      <w:r>
        <w:rPr>
          <w:spacing w:val="-11"/>
        </w:rPr>
        <w:t xml:space="preserve"> </w:t>
      </w:r>
      <w:r>
        <w:t>acts</w:t>
      </w:r>
      <w:r>
        <w:rPr>
          <w:spacing w:val="-12"/>
        </w:rPr>
        <w:t xml:space="preserve"> </w:t>
      </w:r>
      <w:r>
        <w:t>functioning</w:t>
      </w:r>
      <w:r>
        <w:rPr>
          <w:spacing w:val="-13"/>
        </w:rPr>
        <w:t xml:space="preserve"> </w:t>
      </w:r>
      <w:r>
        <w:t>as</w:t>
      </w:r>
      <w:r>
        <w:rPr>
          <w:spacing w:val="-13"/>
        </w:rPr>
        <w:t xml:space="preserve"> </w:t>
      </w:r>
      <w:r>
        <w:t>binding</w:t>
      </w:r>
      <w:r>
        <w:rPr>
          <w:spacing w:val="-13"/>
        </w:rPr>
        <w:t xml:space="preserve"> </w:t>
      </w:r>
      <w:r>
        <w:t>legal</w:t>
      </w:r>
      <w:r>
        <w:rPr>
          <w:spacing w:val="-12"/>
        </w:rPr>
        <w:t xml:space="preserve"> </w:t>
      </w:r>
      <w:r>
        <w:t>instruments</w:t>
      </w:r>
      <w:r>
        <w:rPr>
          <w:spacing w:val="-12"/>
        </w:rPr>
        <w:t xml:space="preserve"> </w:t>
      </w:r>
      <w:r>
        <w:t>(Alfons,</w:t>
      </w:r>
      <w:r>
        <w:rPr>
          <w:spacing w:val="-7"/>
        </w:rPr>
        <w:t xml:space="preserve"> </w:t>
      </w:r>
      <w:r>
        <w:t>2024;</w:t>
      </w:r>
      <w:r>
        <w:rPr>
          <w:spacing w:val="-10"/>
        </w:rPr>
        <w:t xml:space="preserve"> </w:t>
      </w:r>
      <w:r>
        <w:t>Sinaga</w:t>
      </w:r>
      <w:r>
        <w:rPr>
          <w:spacing w:val="-6"/>
        </w:rPr>
        <w:t xml:space="preserve"> </w:t>
      </w:r>
      <w:r>
        <w:t>et</w:t>
      </w:r>
      <w:r>
        <w:rPr>
          <w:spacing w:val="-12"/>
        </w:rPr>
        <w:t xml:space="preserve"> </w:t>
      </w:r>
      <w:r>
        <w:t>al.,</w:t>
      </w:r>
      <w:r>
        <w:rPr>
          <w:spacing w:val="-13"/>
        </w:rPr>
        <w:t xml:space="preserve"> </w:t>
      </w:r>
      <w:r>
        <w:t>2024). These credit agreements generally include collateral guarantees that facilitate enforceability in cases of default</w:t>
      </w:r>
      <w:r>
        <w:rPr>
          <w:spacing w:val="-10"/>
        </w:rPr>
        <w:t xml:space="preserve"> </w:t>
      </w:r>
      <w:r>
        <w:t>(Nasution</w:t>
      </w:r>
      <w:r>
        <w:rPr>
          <w:spacing w:val="-8"/>
        </w:rPr>
        <w:t xml:space="preserve"> </w:t>
      </w:r>
      <w:r>
        <w:t>et</w:t>
      </w:r>
      <w:r>
        <w:rPr>
          <w:spacing w:val="-10"/>
        </w:rPr>
        <w:t xml:space="preserve"> </w:t>
      </w:r>
      <w:r>
        <w:t>al.,</w:t>
      </w:r>
      <w:r>
        <w:rPr>
          <w:spacing w:val="-8"/>
        </w:rPr>
        <w:t xml:space="preserve"> </w:t>
      </w:r>
      <w:r>
        <w:t>2025).</w:t>
      </w:r>
      <w:r>
        <w:rPr>
          <w:spacing w:val="15"/>
        </w:rPr>
        <w:t xml:space="preserve"> </w:t>
      </w:r>
      <w:r>
        <w:t>This</w:t>
      </w:r>
      <w:r>
        <w:rPr>
          <w:spacing w:val="-4"/>
        </w:rPr>
        <w:t xml:space="preserve"> </w:t>
      </w:r>
      <w:r>
        <w:t>legal</w:t>
      </w:r>
      <w:r>
        <w:rPr>
          <w:spacing w:val="-3"/>
        </w:rPr>
        <w:t xml:space="preserve"> </w:t>
      </w:r>
      <w:r>
        <w:t>framework</w:t>
      </w:r>
      <w:r>
        <w:rPr>
          <w:spacing w:val="-10"/>
        </w:rPr>
        <w:t xml:space="preserve"> </w:t>
      </w:r>
      <w:r>
        <w:t>emphasizes</w:t>
      </w:r>
      <w:r>
        <w:rPr>
          <w:spacing w:val="-2"/>
        </w:rPr>
        <w:t xml:space="preserve"> </w:t>
      </w:r>
      <w:r>
        <w:t>the</w:t>
      </w:r>
      <w:r>
        <w:rPr>
          <w:spacing w:val="-5"/>
        </w:rPr>
        <w:t xml:space="preserve"> </w:t>
      </w:r>
      <w:r>
        <w:t>necessity</w:t>
      </w:r>
      <w:r>
        <w:rPr>
          <w:spacing w:val="-10"/>
        </w:rPr>
        <w:t xml:space="preserve"> </w:t>
      </w:r>
      <w:r>
        <w:t>of</w:t>
      </w:r>
      <w:r>
        <w:rPr>
          <w:spacing w:val="-8"/>
        </w:rPr>
        <w:t xml:space="preserve"> </w:t>
      </w:r>
      <w:r>
        <w:t>accuracy</w:t>
      </w:r>
      <w:r>
        <w:rPr>
          <w:spacing w:val="-10"/>
        </w:rPr>
        <w:t xml:space="preserve"> </w:t>
      </w:r>
      <w:r>
        <w:t>and</w:t>
      </w:r>
      <w:r>
        <w:rPr>
          <w:spacing w:val="-10"/>
        </w:rPr>
        <w:t xml:space="preserve"> </w:t>
      </w:r>
      <w:r>
        <w:t>trans</w:t>
      </w:r>
      <w:r>
        <w:t>parency in financial regulation</w:t>
      </w:r>
      <w:r>
        <w:rPr>
          <w:spacing w:val="40"/>
        </w:rPr>
        <w:t xml:space="preserve"> </w:t>
      </w:r>
      <w:r>
        <w:t>to safeguard all stakeholders.</w:t>
      </w:r>
    </w:p>
    <w:p w:rsidR="00143FDB" w:rsidRDefault="006A44E3">
      <w:pPr>
        <w:pStyle w:val="BodyText"/>
        <w:spacing w:line="278" w:lineRule="auto"/>
        <w:ind w:right="61" w:firstLine="540"/>
      </w:pPr>
      <w:r>
        <w:t>Collateral is classified into mobile and immovable assets, each regulated by different systems of encumbrance and enforcement (Harahap, 2020). Movable assets can be secured through</w:t>
      </w:r>
      <w:r>
        <w:rPr>
          <w:spacing w:val="26"/>
        </w:rPr>
        <w:t xml:space="preserve"> </w:t>
      </w:r>
      <w:r>
        <w:t>fiduciary tr</w:t>
      </w:r>
      <w:r>
        <w:t>ansfer or pledge, however immovable assets are generally encumbered by Mortgage Rights (</w:t>
      </w:r>
      <w:r>
        <w:rPr>
          <w:i/>
        </w:rPr>
        <w:t>hak tanggungan</w:t>
      </w:r>
      <w:r>
        <w:t>) (Jiayuan,</w:t>
      </w:r>
      <w:r>
        <w:rPr>
          <w:spacing w:val="-7"/>
        </w:rPr>
        <w:t xml:space="preserve"> </w:t>
      </w:r>
      <w:r>
        <w:t>2023).</w:t>
      </w:r>
      <w:r>
        <w:rPr>
          <w:spacing w:val="-7"/>
        </w:rPr>
        <w:t xml:space="preserve"> </w:t>
      </w:r>
      <w:r>
        <w:t>These</w:t>
      </w:r>
      <w:r>
        <w:rPr>
          <w:spacing w:val="-8"/>
        </w:rPr>
        <w:t xml:space="preserve"> </w:t>
      </w:r>
      <w:r>
        <w:t>classifications</w:t>
      </w:r>
      <w:r>
        <w:rPr>
          <w:spacing w:val="-2"/>
        </w:rPr>
        <w:t xml:space="preserve"> </w:t>
      </w:r>
      <w:r>
        <w:t>dictate both</w:t>
      </w:r>
      <w:r>
        <w:rPr>
          <w:spacing w:val="-9"/>
        </w:rPr>
        <w:t xml:space="preserve"> </w:t>
      </w:r>
      <w:r>
        <w:t>the</w:t>
      </w:r>
      <w:r>
        <w:rPr>
          <w:spacing w:val="-7"/>
        </w:rPr>
        <w:t xml:space="preserve"> </w:t>
      </w:r>
      <w:r>
        <w:t>nature</w:t>
      </w:r>
      <w:r>
        <w:rPr>
          <w:spacing w:val="-9"/>
        </w:rPr>
        <w:t xml:space="preserve"> </w:t>
      </w:r>
      <w:r>
        <w:t>of</w:t>
      </w:r>
      <w:r>
        <w:rPr>
          <w:spacing w:val="-11"/>
        </w:rPr>
        <w:t xml:space="preserve"> </w:t>
      </w:r>
      <w:r>
        <w:t>legal</w:t>
      </w:r>
      <w:r>
        <w:rPr>
          <w:spacing w:val="-5"/>
        </w:rPr>
        <w:t xml:space="preserve"> </w:t>
      </w:r>
      <w:r>
        <w:t>obligation</w:t>
      </w:r>
      <w:r>
        <w:rPr>
          <w:spacing w:val="35"/>
        </w:rPr>
        <w:t xml:space="preserve"> </w:t>
      </w:r>
      <w:r>
        <w:t>and</w:t>
      </w:r>
      <w:r>
        <w:rPr>
          <w:spacing w:val="-7"/>
        </w:rPr>
        <w:t xml:space="preserve"> </w:t>
      </w:r>
      <w:r>
        <w:t>the</w:t>
      </w:r>
      <w:r>
        <w:rPr>
          <w:spacing w:val="-9"/>
        </w:rPr>
        <w:t xml:space="preserve"> </w:t>
      </w:r>
      <w:r>
        <w:t>procedural</w:t>
      </w:r>
      <w:r>
        <w:rPr>
          <w:spacing w:val="-5"/>
        </w:rPr>
        <w:t xml:space="preserve"> </w:t>
      </w:r>
      <w:r>
        <w:t>route</w:t>
      </w:r>
      <w:r>
        <w:rPr>
          <w:spacing w:val="-13"/>
        </w:rPr>
        <w:t xml:space="preserve"> </w:t>
      </w:r>
      <w:r>
        <w:t>for asset</w:t>
      </w:r>
      <w:r>
        <w:rPr>
          <w:spacing w:val="-8"/>
        </w:rPr>
        <w:t xml:space="preserve"> </w:t>
      </w:r>
      <w:r>
        <w:t>enforcement.</w:t>
      </w:r>
    </w:p>
    <w:p w:rsidR="00143FDB" w:rsidRDefault="006A44E3">
      <w:pPr>
        <w:pStyle w:val="BodyText"/>
        <w:spacing w:line="278" w:lineRule="auto"/>
        <w:ind w:right="63" w:firstLine="540"/>
      </w:pPr>
      <w:r>
        <w:t>Law</w:t>
      </w:r>
      <w:r>
        <w:rPr>
          <w:spacing w:val="-11"/>
        </w:rPr>
        <w:t xml:space="preserve"> </w:t>
      </w:r>
      <w:r>
        <w:t>No.</w:t>
      </w:r>
      <w:r>
        <w:rPr>
          <w:spacing w:val="-9"/>
        </w:rPr>
        <w:t xml:space="preserve"> </w:t>
      </w:r>
      <w:r>
        <w:t>4</w:t>
      </w:r>
      <w:r>
        <w:rPr>
          <w:spacing w:val="-9"/>
        </w:rPr>
        <w:t xml:space="preserve"> </w:t>
      </w:r>
      <w:r>
        <w:t>of</w:t>
      </w:r>
      <w:r>
        <w:rPr>
          <w:spacing w:val="-6"/>
        </w:rPr>
        <w:t xml:space="preserve"> </w:t>
      </w:r>
      <w:r>
        <w:t>1996</w:t>
      </w:r>
      <w:r>
        <w:rPr>
          <w:spacing w:val="-2"/>
        </w:rPr>
        <w:t xml:space="preserve"> </w:t>
      </w:r>
      <w:r>
        <w:t>regarding</w:t>
      </w:r>
      <w:r>
        <w:rPr>
          <w:spacing w:val="-6"/>
        </w:rPr>
        <w:t xml:space="preserve"> </w:t>
      </w:r>
      <w:r>
        <w:t>Mortgage</w:t>
      </w:r>
      <w:r>
        <w:rPr>
          <w:spacing w:val="-2"/>
        </w:rPr>
        <w:t xml:space="preserve"> </w:t>
      </w:r>
      <w:r>
        <w:t>Rights</w:t>
      </w:r>
      <w:r>
        <w:rPr>
          <w:spacing w:val="-2"/>
        </w:rPr>
        <w:t xml:space="preserve"> </w:t>
      </w:r>
      <w:r>
        <w:t>establishes</w:t>
      </w:r>
      <w:r>
        <w:rPr>
          <w:spacing w:val="-2"/>
        </w:rPr>
        <w:t xml:space="preserve"> </w:t>
      </w:r>
      <w:r>
        <w:t>the</w:t>
      </w:r>
      <w:r>
        <w:rPr>
          <w:spacing w:val="-2"/>
        </w:rPr>
        <w:t xml:space="preserve"> </w:t>
      </w:r>
      <w:r>
        <w:t>legal</w:t>
      </w:r>
      <w:r>
        <w:rPr>
          <w:spacing w:val="-1"/>
        </w:rPr>
        <w:t xml:space="preserve"> </w:t>
      </w:r>
      <w:r>
        <w:t>framework</w:t>
      </w:r>
      <w:r>
        <w:rPr>
          <w:spacing w:val="-11"/>
        </w:rPr>
        <w:t xml:space="preserve"> </w:t>
      </w:r>
      <w:r>
        <w:t>for</w:t>
      </w:r>
      <w:r>
        <w:rPr>
          <w:spacing w:val="-6"/>
        </w:rPr>
        <w:t xml:space="preserve"> </w:t>
      </w:r>
      <w:r>
        <w:t>the</w:t>
      </w:r>
      <w:r>
        <w:rPr>
          <w:spacing w:val="-6"/>
        </w:rPr>
        <w:t xml:space="preserve"> </w:t>
      </w:r>
      <w:r>
        <w:t>enforcement</w:t>
      </w:r>
      <w:r>
        <w:rPr>
          <w:spacing w:val="-8"/>
        </w:rPr>
        <w:t xml:space="preserve"> </w:t>
      </w:r>
      <w:r>
        <w:t>of immovable</w:t>
      </w:r>
      <w:r>
        <w:rPr>
          <w:spacing w:val="-14"/>
        </w:rPr>
        <w:t xml:space="preserve"> </w:t>
      </w:r>
      <w:r>
        <w:t>collateral</w:t>
      </w:r>
      <w:r>
        <w:rPr>
          <w:spacing w:val="-14"/>
        </w:rPr>
        <w:t xml:space="preserve"> </w:t>
      </w:r>
      <w:r>
        <w:t>in</w:t>
      </w:r>
      <w:r>
        <w:rPr>
          <w:spacing w:val="-13"/>
        </w:rPr>
        <w:t xml:space="preserve"> </w:t>
      </w:r>
      <w:r>
        <w:t>instances</w:t>
      </w:r>
      <w:r>
        <w:rPr>
          <w:spacing w:val="-13"/>
        </w:rPr>
        <w:t xml:space="preserve"> </w:t>
      </w:r>
      <w:r>
        <w:t>of</w:t>
      </w:r>
      <w:r>
        <w:rPr>
          <w:spacing w:val="-13"/>
        </w:rPr>
        <w:t xml:space="preserve"> </w:t>
      </w:r>
      <w:r>
        <w:t>loan</w:t>
      </w:r>
      <w:r>
        <w:rPr>
          <w:spacing w:val="-14"/>
        </w:rPr>
        <w:t xml:space="preserve"> </w:t>
      </w:r>
      <w:r>
        <w:t>failure</w:t>
      </w:r>
      <w:r>
        <w:rPr>
          <w:spacing w:val="-13"/>
        </w:rPr>
        <w:t xml:space="preserve"> </w:t>
      </w:r>
      <w:r>
        <w:t>(Lyanthi,</w:t>
      </w:r>
      <w:r>
        <w:rPr>
          <w:spacing w:val="-14"/>
        </w:rPr>
        <w:t xml:space="preserve"> </w:t>
      </w:r>
      <w:r>
        <w:t>2023;</w:t>
      </w:r>
      <w:r>
        <w:rPr>
          <w:spacing w:val="-13"/>
        </w:rPr>
        <w:t xml:space="preserve"> </w:t>
      </w:r>
      <w:r>
        <w:t>Ningsih</w:t>
      </w:r>
      <w:r>
        <w:rPr>
          <w:spacing w:val="-14"/>
        </w:rPr>
        <w:t xml:space="preserve"> </w:t>
      </w:r>
      <w:r>
        <w:t>et</w:t>
      </w:r>
      <w:r>
        <w:rPr>
          <w:spacing w:val="-13"/>
        </w:rPr>
        <w:t xml:space="preserve"> </w:t>
      </w:r>
      <w:r>
        <w:t>al.,</w:t>
      </w:r>
      <w:r>
        <w:rPr>
          <w:spacing w:val="-13"/>
        </w:rPr>
        <w:t xml:space="preserve"> </w:t>
      </w:r>
      <w:r>
        <w:t>2024).</w:t>
      </w:r>
      <w:r>
        <w:rPr>
          <w:spacing w:val="-14"/>
        </w:rPr>
        <w:t xml:space="preserve"> </w:t>
      </w:r>
      <w:r>
        <w:t>It</w:t>
      </w:r>
      <w:r>
        <w:rPr>
          <w:spacing w:val="-11"/>
        </w:rPr>
        <w:t xml:space="preserve"> </w:t>
      </w:r>
      <w:r>
        <w:t>governs</w:t>
      </w:r>
      <w:r>
        <w:rPr>
          <w:spacing w:val="-11"/>
        </w:rPr>
        <w:t xml:space="preserve"> </w:t>
      </w:r>
      <w:r>
        <w:t>both</w:t>
      </w:r>
      <w:r>
        <w:rPr>
          <w:spacing w:val="-14"/>
        </w:rPr>
        <w:t xml:space="preserve"> </w:t>
      </w:r>
      <w:r>
        <w:t>private and public auction processes according to the concepts of lega</w:t>
      </w:r>
      <w:r>
        <w:t>l certainty, efficiency, and procedural transparency (Febrianto &amp; Ayunda, 2019). This legal framework guarantees that enforcement actions are both legitimate</w:t>
      </w:r>
      <w:r>
        <w:rPr>
          <w:spacing w:val="40"/>
        </w:rPr>
        <w:t xml:space="preserve"> </w:t>
      </w:r>
      <w:r>
        <w:t>and aligned</w:t>
      </w:r>
      <w:r>
        <w:rPr>
          <w:spacing w:val="40"/>
        </w:rPr>
        <w:t xml:space="preserve"> </w:t>
      </w:r>
      <w:r>
        <w:t>with the ideals of equity.</w:t>
      </w:r>
    </w:p>
    <w:p w:rsidR="00143FDB" w:rsidRDefault="006A44E3">
      <w:pPr>
        <w:pStyle w:val="BodyText"/>
        <w:spacing w:line="278" w:lineRule="auto"/>
        <w:ind w:right="53" w:firstLine="540"/>
      </w:pPr>
      <w:r>
        <w:t>Execution</w:t>
      </w:r>
      <w:r>
        <w:rPr>
          <w:spacing w:val="-2"/>
        </w:rPr>
        <w:t xml:space="preserve"> </w:t>
      </w:r>
      <w:r>
        <w:t>auctions encompass</w:t>
      </w:r>
      <w:r>
        <w:rPr>
          <w:spacing w:val="-3"/>
        </w:rPr>
        <w:t xml:space="preserve"> </w:t>
      </w:r>
      <w:r>
        <w:t>creditors,</w:t>
      </w:r>
      <w:r>
        <w:rPr>
          <w:spacing w:val="-3"/>
        </w:rPr>
        <w:t xml:space="preserve"> </w:t>
      </w:r>
      <w:r>
        <w:t>debtors, guarantors,</w:t>
      </w:r>
      <w:r>
        <w:rPr>
          <w:spacing w:val="-3"/>
        </w:rPr>
        <w:t xml:space="preserve"> </w:t>
      </w:r>
      <w:r>
        <w:t>and</w:t>
      </w:r>
      <w:r>
        <w:rPr>
          <w:spacing w:val="-4"/>
        </w:rPr>
        <w:t xml:space="preserve"> </w:t>
      </w:r>
      <w:r>
        <w:t>third-party purchasers,</w:t>
      </w:r>
      <w:r>
        <w:rPr>
          <w:spacing w:val="-3"/>
        </w:rPr>
        <w:t xml:space="preserve"> </w:t>
      </w:r>
      <w:r>
        <w:t>all of whom are</w:t>
      </w:r>
      <w:r>
        <w:rPr>
          <w:spacing w:val="-13"/>
        </w:rPr>
        <w:t xml:space="preserve"> </w:t>
      </w:r>
      <w:r>
        <w:t>entitled</w:t>
      </w:r>
      <w:r>
        <w:rPr>
          <w:spacing w:val="-11"/>
        </w:rPr>
        <w:t xml:space="preserve"> </w:t>
      </w:r>
      <w:r>
        <w:t>to</w:t>
      </w:r>
      <w:r>
        <w:rPr>
          <w:spacing w:val="-12"/>
        </w:rPr>
        <w:t xml:space="preserve"> </w:t>
      </w:r>
      <w:r>
        <w:t>procedural</w:t>
      </w:r>
      <w:r>
        <w:rPr>
          <w:spacing w:val="-10"/>
        </w:rPr>
        <w:t xml:space="preserve"> </w:t>
      </w:r>
      <w:r>
        <w:t>and</w:t>
      </w:r>
      <w:r>
        <w:rPr>
          <w:spacing w:val="-12"/>
        </w:rPr>
        <w:t xml:space="preserve"> </w:t>
      </w:r>
      <w:r>
        <w:t>substantive</w:t>
      </w:r>
      <w:r>
        <w:rPr>
          <w:spacing w:val="-11"/>
        </w:rPr>
        <w:t xml:space="preserve"> </w:t>
      </w:r>
      <w:r>
        <w:t>legal</w:t>
      </w:r>
      <w:r>
        <w:rPr>
          <w:spacing w:val="-10"/>
        </w:rPr>
        <w:t xml:space="preserve"> </w:t>
      </w:r>
      <w:r>
        <w:t>protections</w:t>
      </w:r>
      <w:r>
        <w:rPr>
          <w:spacing w:val="-9"/>
        </w:rPr>
        <w:t xml:space="preserve"> </w:t>
      </w:r>
      <w:r>
        <w:t>as</w:t>
      </w:r>
      <w:r>
        <w:rPr>
          <w:spacing w:val="-11"/>
        </w:rPr>
        <w:t xml:space="preserve"> </w:t>
      </w:r>
      <w:r>
        <w:t>stipulated</w:t>
      </w:r>
      <w:r>
        <w:rPr>
          <w:spacing w:val="-5"/>
        </w:rPr>
        <w:t xml:space="preserve"> </w:t>
      </w:r>
      <w:r>
        <w:t>by</w:t>
      </w:r>
      <w:r>
        <w:rPr>
          <w:spacing w:val="-12"/>
        </w:rPr>
        <w:t xml:space="preserve"> </w:t>
      </w:r>
      <w:r>
        <w:t>statutory</w:t>
      </w:r>
      <w:r>
        <w:rPr>
          <w:spacing w:val="-13"/>
        </w:rPr>
        <w:t xml:space="preserve"> </w:t>
      </w:r>
      <w:r>
        <w:t>regulations</w:t>
      </w:r>
      <w:r>
        <w:rPr>
          <w:spacing w:val="33"/>
        </w:rPr>
        <w:t xml:space="preserve"> </w:t>
      </w:r>
      <w:r>
        <w:t>(Res,</w:t>
      </w:r>
      <w:r>
        <w:rPr>
          <w:spacing w:val="-14"/>
        </w:rPr>
        <w:t xml:space="preserve"> </w:t>
      </w:r>
      <w:r>
        <w:t>2021). Regulatory mandates encompass verified appraisals, transparent bidding procedures,</w:t>
      </w:r>
      <w:r>
        <w:t xml:space="preserve"> and appropriate title transfer protocols (Ningsih, 2021). The enforceability of these measures confirms the correspondence between procedural justice</w:t>
      </w:r>
      <w:r>
        <w:rPr>
          <w:spacing w:val="40"/>
        </w:rPr>
        <w:t xml:space="preserve"> </w:t>
      </w:r>
      <w:r>
        <w:t>and business certainty.</w:t>
      </w:r>
    </w:p>
    <w:p w:rsidR="00143FDB" w:rsidRDefault="006A44E3">
      <w:pPr>
        <w:pStyle w:val="BodyText"/>
        <w:spacing w:line="278" w:lineRule="auto"/>
        <w:ind w:right="54" w:firstLine="540"/>
      </w:pPr>
      <w:r>
        <w:t>The regulatory framework for credit enforcement is based on the constitutional an</w:t>
      </w:r>
      <w:r>
        <w:t>d philosophical principles of Pancasila and the 1945 Constitution (Muttaqin et al., 2024). These fundamental values underscore human dignity,</w:t>
      </w:r>
      <w:r>
        <w:rPr>
          <w:spacing w:val="38"/>
        </w:rPr>
        <w:t xml:space="preserve"> </w:t>
      </w:r>
      <w:r>
        <w:t>legal certainty, and equity as essential to legal advancement across all sectors, including</w:t>
      </w:r>
      <w:r>
        <w:rPr>
          <w:spacing w:val="35"/>
        </w:rPr>
        <w:t xml:space="preserve"> </w:t>
      </w:r>
      <w:r>
        <w:t>financial services (So</w:t>
      </w:r>
      <w:r>
        <w:t>larte-Vasquez</w:t>
      </w:r>
      <w:r>
        <w:rPr>
          <w:spacing w:val="-1"/>
        </w:rPr>
        <w:t xml:space="preserve"> </w:t>
      </w:r>
      <w:r>
        <w:t>&amp; Hietanen-Kunwald, 2020). Incorporating these ideals into the legal enforcement of credit guarantees enhances the legitimacy</w:t>
      </w:r>
      <w:r>
        <w:rPr>
          <w:spacing w:val="40"/>
        </w:rPr>
        <w:t xml:space="preserve"> </w:t>
      </w:r>
      <w:r>
        <w:t>and accessibility</w:t>
      </w:r>
      <w:r>
        <w:rPr>
          <w:spacing w:val="40"/>
        </w:rPr>
        <w:t xml:space="preserve"> </w:t>
      </w:r>
      <w:r>
        <w:t>of financial law.</w:t>
      </w:r>
    </w:p>
    <w:p w:rsidR="00143FDB" w:rsidRDefault="006A44E3">
      <w:pPr>
        <w:pStyle w:val="BodyText"/>
        <w:spacing w:line="271" w:lineRule="auto"/>
        <w:ind w:right="75" w:firstLine="540"/>
      </w:pPr>
      <w:r>
        <w:t>Therefore,</w:t>
      </w:r>
      <w:r>
        <w:rPr>
          <w:spacing w:val="-9"/>
        </w:rPr>
        <w:t xml:space="preserve"> </w:t>
      </w:r>
      <w:r>
        <w:t>this</w:t>
      </w:r>
      <w:r>
        <w:rPr>
          <w:spacing w:val="-6"/>
        </w:rPr>
        <w:t xml:space="preserve"> </w:t>
      </w:r>
      <w:r>
        <w:t>study</w:t>
      </w:r>
      <w:r>
        <w:rPr>
          <w:spacing w:val="-6"/>
        </w:rPr>
        <w:t xml:space="preserve"> </w:t>
      </w:r>
      <w:r>
        <w:t>seeks</w:t>
      </w:r>
      <w:r>
        <w:rPr>
          <w:spacing w:val="-7"/>
        </w:rPr>
        <w:t xml:space="preserve"> </w:t>
      </w:r>
      <w:r>
        <w:t>to</w:t>
      </w:r>
      <w:r>
        <w:rPr>
          <w:spacing w:val="-9"/>
        </w:rPr>
        <w:t xml:space="preserve"> </w:t>
      </w:r>
      <w:r>
        <w:t>address</w:t>
      </w:r>
      <w:r>
        <w:rPr>
          <w:spacing w:val="-9"/>
        </w:rPr>
        <w:t xml:space="preserve"> </w:t>
      </w:r>
      <w:r>
        <w:t>the</w:t>
      </w:r>
      <w:r>
        <w:rPr>
          <w:spacing w:val="-7"/>
        </w:rPr>
        <w:t xml:space="preserve"> </w:t>
      </w:r>
      <w:r>
        <w:t>following</w:t>
      </w:r>
      <w:r>
        <w:rPr>
          <w:spacing w:val="35"/>
        </w:rPr>
        <w:t xml:space="preserve"> </w:t>
      </w:r>
      <w:r>
        <w:t>research</w:t>
      </w:r>
      <w:r>
        <w:rPr>
          <w:spacing w:val="-9"/>
        </w:rPr>
        <w:t xml:space="preserve"> </w:t>
      </w:r>
      <w:r>
        <w:t>problem:</w:t>
      </w:r>
      <w:r>
        <w:rPr>
          <w:spacing w:val="-1"/>
        </w:rPr>
        <w:t xml:space="preserve"> </w:t>
      </w:r>
      <w:r>
        <w:t>How</w:t>
      </w:r>
      <w:r>
        <w:rPr>
          <w:spacing w:val="-8"/>
        </w:rPr>
        <w:t xml:space="preserve"> </w:t>
      </w:r>
      <w:r>
        <w:t>does</w:t>
      </w:r>
      <w:r>
        <w:rPr>
          <w:spacing w:val="-9"/>
        </w:rPr>
        <w:t xml:space="preserve"> </w:t>
      </w:r>
      <w:r>
        <w:t>the</w:t>
      </w:r>
      <w:r>
        <w:rPr>
          <w:spacing w:val="-3"/>
        </w:rPr>
        <w:t xml:space="preserve"> </w:t>
      </w:r>
      <w:r>
        <w:t>Indonesian</w:t>
      </w:r>
      <w:r>
        <w:rPr>
          <w:spacing w:val="-7"/>
        </w:rPr>
        <w:t xml:space="preserve"> </w:t>
      </w:r>
      <w:r>
        <w:t>legal framework</w:t>
      </w:r>
      <w:r>
        <w:rPr>
          <w:spacing w:val="-9"/>
        </w:rPr>
        <w:t xml:space="preserve"> </w:t>
      </w:r>
      <w:r>
        <w:t>regulate and differentiate the types of credit guarantees</w:t>
      </w:r>
      <w:r>
        <w:rPr>
          <w:spacing w:val="-10"/>
        </w:rPr>
        <w:t xml:space="preserve"> </w:t>
      </w:r>
      <w:r>
        <w:t>in banking</w:t>
      </w:r>
      <w:r>
        <w:rPr>
          <w:spacing w:val="36"/>
        </w:rPr>
        <w:t xml:space="preserve"> </w:t>
      </w:r>
      <w:r>
        <w:t>transactions, particularly</w:t>
      </w:r>
      <w:r>
        <w:rPr>
          <w:spacing w:val="38"/>
        </w:rPr>
        <w:t xml:space="preserve"> </w:t>
      </w:r>
      <w:r>
        <w:t>in</w:t>
      </w:r>
    </w:p>
    <w:p w:rsidR="00143FDB" w:rsidRDefault="00143FDB">
      <w:pPr>
        <w:pStyle w:val="BodyText"/>
        <w:spacing w:line="271" w:lineRule="auto"/>
        <w:sectPr w:rsidR="00143FDB">
          <w:headerReference w:type="default" r:id="rId9"/>
          <w:footerReference w:type="default" r:id="rId10"/>
          <w:pgSz w:w="11920" w:h="16860"/>
          <w:pgMar w:top="1460" w:right="1133" w:bottom="2020" w:left="1133" w:header="282" w:footer="1831" w:gutter="0"/>
          <w:pgNumType w:start="4959"/>
          <w:cols w:space="720"/>
        </w:sectPr>
      </w:pPr>
    </w:p>
    <w:p w:rsidR="00143FDB" w:rsidRDefault="006A44E3">
      <w:pPr>
        <w:pStyle w:val="BodyText"/>
        <w:spacing w:before="81" w:line="271" w:lineRule="auto"/>
        <w:ind w:right="84"/>
      </w:pPr>
      <w:r>
        <w:lastRenderedPageBreak/>
        <w:t>terms of</w:t>
      </w:r>
      <w:r>
        <w:rPr>
          <w:spacing w:val="-1"/>
        </w:rPr>
        <w:t xml:space="preserve"> </w:t>
      </w:r>
      <w:r>
        <w:t>legal certainty, enforceability, and protection of the parties involved?</w:t>
      </w:r>
      <w:r>
        <w:rPr>
          <w:spacing w:val="34"/>
        </w:rPr>
        <w:t xml:space="preserve"> </w:t>
      </w:r>
      <w:r>
        <w:t>The analysis focuses on</w:t>
      </w:r>
      <w:r>
        <w:rPr>
          <w:spacing w:val="-9"/>
        </w:rPr>
        <w:t xml:space="preserve"> </w:t>
      </w:r>
      <w:r>
        <w:t>the classification between material and personal guarantees, as well as the procedural and normative implications</w:t>
      </w:r>
      <w:r>
        <w:rPr>
          <w:spacing w:val="40"/>
        </w:rPr>
        <w:t xml:space="preserve"> </w:t>
      </w:r>
      <w:r>
        <w:t>of movable versus</w:t>
      </w:r>
      <w:r>
        <w:rPr>
          <w:spacing w:val="-6"/>
        </w:rPr>
        <w:t xml:space="preserve"> </w:t>
      </w:r>
      <w:r>
        <w:t>immovable</w:t>
      </w:r>
      <w:r>
        <w:rPr>
          <w:spacing w:val="40"/>
        </w:rPr>
        <w:t xml:space="preserve"> </w:t>
      </w:r>
      <w:r>
        <w:t>collateral under the prevailing</w:t>
      </w:r>
      <w:r>
        <w:rPr>
          <w:spacing w:val="40"/>
        </w:rPr>
        <w:t xml:space="preserve"> </w:t>
      </w:r>
      <w:r>
        <w:t>laws and regulatory practices.</w:t>
      </w:r>
    </w:p>
    <w:p w:rsidR="00143FDB" w:rsidRDefault="006A44E3">
      <w:pPr>
        <w:pStyle w:val="BodyText"/>
        <w:spacing w:before="14" w:line="276" w:lineRule="auto"/>
        <w:ind w:right="62" w:firstLine="540"/>
      </w:pPr>
      <w:r>
        <w:t xml:space="preserve">Notwithstanding the comprehensive legal literature </w:t>
      </w:r>
      <w:r>
        <w:t>on banking and credit security in Indonesia, current</w:t>
      </w:r>
      <w:r>
        <w:rPr>
          <w:spacing w:val="-10"/>
        </w:rPr>
        <w:t xml:space="preserve"> </w:t>
      </w:r>
      <w:r>
        <w:t>studies</w:t>
      </w:r>
      <w:r>
        <w:rPr>
          <w:spacing w:val="-10"/>
        </w:rPr>
        <w:t xml:space="preserve"> </w:t>
      </w:r>
      <w:r>
        <w:t>predominantly</w:t>
      </w:r>
      <w:r>
        <w:rPr>
          <w:spacing w:val="26"/>
        </w:rPr>
        <w:t xml:space="preserve"> </w:t>
      </w:r>
      <w:r>
        <w:t>concentrate</w:t>
      </w:r>
      <w:r>
        <w:rPr>
          <w:spacing w:val="-8"/>
        </w:rPr>
        <w:t xml:space="preserve"> </w:t>
      </w:r>
      <w:r>
        <w:t>on</w:t>
      </w:r>
      <w:r>
        <w:rPr>
          <w:spacing w:val="-10"/>
        </w:rPr>
        <w:t xml:space="preserve"> </w:t>
      </w:r>
      <w:r>
        <w:t>certain</w:t>
      </w:r>
      <w:r>
        <w:rPr>
          <w:spacing w:val="-8"/>
        </w:rPr>
        <w:t xml:space="preserve"> </w:t>
      </w:r>
      <w:r>
        <w:t>forms</w:t>
      </w:r>
      <w:r>
        <w:rPr>
          <w:spacing w:val="-8"/>
        </w:rPr>
        <w:t xml:space="preserve"> </w:t>
      </w:r>
      <w:r>
        <w:t>of</w:t>
      </w:r>
      <w:r>
        <w:rPr>
          <w:spacing w:val="-3"/>
        </w:rPr>
        <w:t xml:space="preserve"> </w:t>
      </w:r>
      <w:r>
        <w:t>collateral</w:t>
      </w:r>
      <w:r>
        <w:rPr>
          <w:spacing w:val="-5"/>
        </w:rPr>
        <w:t xml:space="preserve"> </w:t>
      </w:r>
      <w:r>
        <w:t>or</w:t>
      </w:r>
      <w:r>
        <w:rPr>
          <w:spacing w:val="-3"/>
        </w:rPr>
        <w:t xml:space="preserve"> </w:t>
      </w:r>
      <w:r>
        <w:t>procedural</w:t>
      </w:r>
      <w:r>
        <w:rPr>
          <w:spacing w:val="-9"/>
        </w:rPr>
        <w:t xml:space="preserve"> </w:t>
      </w:r>
      <w:r>
        <w:t>enforcement</w:t>
      </w:r>
      <w:r>
        <w:rPr>
          <w:spacing w:val="-13"/>
        </w:rPr>
        <w:t xml:space="preserve"> </w:t>
      </w:r>
      <w:r>
        <w:t>methods in</w:t>
      </w:r>
      <w:r>
        <w:rPr>
          <w:spacing w:val="-10"/>
        </w:rPr>
        <w:t xml:space="preserve"> </w:t>
      </w:r>
      <w:r>
        <w:t>isolation. Limited efforts</w:t>
      </w:r>
      <w:r>
        <w:rPr>
          <w:spacing w:val="-9"/>
        </w:rPr>
        <w:t xml:space="preserve"> </w:t>
      </w:r>
      <w:r>
        <w:t>have</w:t>
      </w:r>
      <w:r>
        <w:rPr>
          <w:spacing w:val="-8"/>
        </w:rPr>
        <w:t xml:space="preserve"> </w:t>
      </w:r>
      <w:r>
        <w:t>been</w:t>
      </w:r>
      <w:r>
        <w:rPr>
          <w:spacing w:val="-8"/>
        </w:rPr>
        <w:t xml:space="preserve"> </w:t>
      </w:r>
      <w:r>
        <w:t>undertaken</w:t>
      </w:r>
      <w:r>
        <w:rPr>
          <w:spacing w:val="-7"/>
        </w:rPr>
        <w:t xml:space="preserve"> </w:t>
      </w:r>
      <w:r>
        <w:t>to</w:t>
      </w:r>
      <w:r>
        <w:rPr>
          <w:spacing w:val="-8"/>
        </w:rPr>
        <w:t xml:space="preserve"> </w:t>
      </w:r>
      <w:r>
        <w:t>consolidate</w:t>
      </w:r>
      <w:r>
        <w:rPr>
          <w:spacing w:val="-3"/>
        </w:rPr>
        <w:t xml:space="preserve"> </w:t>
      </w:r>
      <w:r>
        <w:t>and</w:t>
      </w:r>
      <w:r>
        <w:rPr>
          <w:spacing w:val="-10"/>
        </w:rPr>
        <w:t xml:space="preserve"> </w:t>
      </w:r>
      <w:r>
        <w:t>comparatively</w:t>
      </w:r>
      <w:r>
        <w:rPr>
          <w:spacing w:val="-4"/>
        </w:rPr>
        <w:t xml:space="preserve"> </w:t>
      </w:r>
      <w:r>
        <w:t>examine</w:t>
      </w:r>
      <w:r>
        <w:rPr>
          <w:spacing w:val="-3"/>
        </w:rPr>
        <w:t xml:space="preserve"> </w:t>
      </w:r>
      <w:r>
        <w:t>the</w:t>
      </w:r>
      <w:r>
        <w:rPr>
          <w:spacing w:val="-8"/>
        </w:rPr>
        <w:t xml:space="preserve"> </w:t>
      </w:r>
      <w:r>
        <w:t>normative, procedural, and structural</w:t>
      </w:r>
      <w:r>
        <w:rPr>
          <w:spacing w:val="-1"/>
        </w:rPr>
        <w:t xml:space="preserve"> </w:t>
      </w:r>
      <w:r>
        <w:t>distinctions</w:t>
      </w:r>
      <w:r>
        <w:rPr>
          <w:spacing w:val="35"/>
        </w:rPr>
        <w:t xml:space="preserve"> </w:t>
      </w:r>
      <w:r>
        <w:t>between</w:t>
      </w:r>
      <w:r>
        <w:rPr>
          <w:spacing w:val="-3"/>
        </w:rPr>
        <w:t xml:space="preserve"> </w:t>
      </w:r>
      <w:r>
        <w:t>material</w:t>
      </w:r>
      <w:r>
        <w:rPr>
          <w:spacing w:val="-1"/>
        </w:rPr>
        <w:t xml:space="preserve"> </w:t>
      </w:r>
      <w:r>
        <w:t>and personal</w:t>
      </w:r>
      <w:r>
        <w:rPr>
          <w:spacing w:val="-2"/>
        </w:rPr>
        <w:t xml:space="preserve"> </w:t>
      </w:r>
      <w:r>
        <w:t>guarantees, especially concerning</w:t>
      </w:r>
      <w:r>
        <w:rPr>
          <w:spacing w:val="-4"/>
        </w:rPr>
        <w:t xml:space="preserve"> </w:t>
      </w:r>
      <w:r>
        <w:t>the categorization of movable and</w:t>
      </w:r>
      <w:r>
        <w:rPr>
          <w:spacing w:val="-2"/>
        </w:rPr>
        <w:t xml:space="preserve"> </w:t>
      </w:r>
      <w:r>
        <w:t>immovable</w:t>
      </w:r>
      <w:r>
        <w:rPr>
          <w:spacing w:val="37"/>
        </w:rPr>
        <w:t xml:space="preserve"> </w:t>
      </w:r>
      <w:r>
        <w:t>collateral. This work addresses</w:t>
      </w:r>
      <w:r>
        <w:rPr>
          <w:spacing w:val="-4"/>
        </w:rPr>
        <w:t xml:space="preserve"> </w:t>
      </w:r>
      <w:r>
        <w:t>the</w:t>
      </w:r>
      <w:r>
        <w:rPr>
          <w:spacing w:val="-5"/>
        </w:rPr>
        <w:t xml:space="preserve"> </w:t>
      </w:r>
      <w:r>
        <w:t>gap</w:t>
      </w:r>
      <w:r>
        <w:rPr>
          <w:spacing w:val="-3"/>
        </w:rPr>
        <w:t xml:space="preserve"> </w:t>
      </w:r>
      <w:r>
        <w:t>by providing</w:t>
      </w:r>
      <w:r>
        <w:rPr>
          <w:spacing w:val="25"/>
        </w:rPr>
        <w:t xml:space="preserve"> </w:t>
      </w:r>
      <w:r>
        <w:t>a</w:t>
      </w:r>
      <w:r>
        <w:rPr>
          <w:spacing w:val="-10"/>
        </w:rPr>
        <w:t xml:space="preserve"> </w:t>
      </w:r>
      <w:r>
        <w:t xml:space="preserve">thorough doctrinal and empirical analysis </w:t>
      </w:r>
      <w:r>
        <w:t>of credit guarantee types, emphasizing the discrepancies in enforcement methods and</w:t>
      </w:r>
      <w:r>
        <w:rPr>
          <w:spacing w:val="-4"/>
        </w:rPr>
        <w:t xml:space="preserve"> </w:t>
      </w:r>
      <w:r>
        <w:t>legal</w:t>
      </w:r>
      <w:r>
        <w:rPr>
          <w:spacing w:val="-1"/>
        </w:rPr>
        <w:t xml:space="preserve"> </w:t>
      </w:r>
      <w:r>
        <w:t xml:space="preserve">protections among various collateral regimes. Furthermore, it offers a unique theoretical approach by incorporating the civil law idea of bezit and its ramifications </w:t>
      </w:r>
      <w:r>
        <w:t>for fiduciary and pledge arrangements, a facet generally neglected in prior studies. This paper critically examines the relationship between</w:t>
      </w:r>
      <w:r>
        <w:rPr>
          <w:spacing w:val="-2"/>
        </w:rPr>
        <w:t xml:space="preserve"> </w:t>
      </w:r>
      <w:r>
        <w:t>codified legal certainty and real</w:t>
      </w:r>
      <w:r>
        <w:rPr>
          <w:spacing w:val="-1"/>
        </w:rPr>
        <w:t xml:space="preserve"> </w:t>
      </w:r>
      <w:r>
        <w:t>disparities</w:t>
      </w:r>
      <w:r>
        <w:rPr>
          <w:spacing w:val="35"/>
        </w:rPr>
        <w:t xml:space="preserve"> </w:t>
      </w:r>
      <w:r>
        <w:t>in creditor-debtor relations, aiming to promote a more fair and respo</w:t>
      </w:r>
      <w:r>
        <w:t>nsive legal framework in Indonesian financial law.</w:t>
      </w:r>
    </w:p>
    <w:p w:rsidR="00143FDB" w:rsidRDefault="00143FDB">
      <w:pPr>
        <w:pStyle w:val="BodyText"/>
        <w:spacing w:before="63"/>
        <w:ind w:left="0"/>
        <w:jc w:val="left"/>
      </w:pPr>
    </w:p>
    <w:p w:rsidR="00143FDB" w:rsidRDefault="006A44E3">
      <w:pPr>
        <w:pStyle w:val="Heading2"/>
        <w:jc w:val="both"/>
      </w:pPr>
      <w:r>
        <w:t>LITERATURE</w:t>
      </w:r>
      <w:r>
        <w:rPr>
          <w:spacing w:val="18"/>
        </w:rPr>
        <w:t xml:space="preserve"> </w:t>
      </w:r>
      <w:r>
        <w:rPr>
          <w:spacing w:val="-2"/>
        </w:rPr>
        <w:t>REVIEW</w:t>
      </w:r>
    </w:p>
    <w:p w:rsidR="00143FDB" w:rsidRDefault="006A44E3">
      <w:pPr>
        <w:pStyle w:val="BodyText"/>
        <w:spacing w:before="14" w:line="278" w:lineRule="auto"/>
        <w:ind w:right="62" w:firstLine="720"/>
      </w:pPr>
      <w:r>
        <w:t>The concept of law serves as a foundational norm that directs the creation, interpretation, and enforcement of legal norms across countries (Kartika, 2019; Szabolcs, 2023). Legal scholar</w:t>
      </w:r>
      <w:r>
        <w:t>s frequently perceive</w:t>
      </w:r>
      <w:r>
        <w:rPr>
          <w:spacing w:val="-11"/>
        </w:rPr>
        <w:t xml:space="preserve"> </w:t>
      </w:r>
      <w:r>
        <w:t>principles</w:t>
      </w:r>
      <w:r>
        <w:rPr>
          <w:spacing w:val="14"/>
        </w:rPr>
        <w:t xml:space="preserve"> </w:t>
      </w:r>
      <w:r>
        <w:t>as</w:t>
      </w:r>
      <w:r>
        <w:rPr>
          <w:spacing w:val="-11"/>
        </w:rPr>
        <w:t xml:space="preserve"> </w:t>
      </w:r>
      <w:r>
        <w:t>generic,</w:t>
      </w:r>
      <w:r>
        <w:rPr>
          <w:spacing w:val="-10"/>
        </w:rPr>
        <w:t xml:space="preserve"> </w:t>
      </w:r>
      <w:r>
        <w:t>abstract</w:t>
      </w:r>
      <w:r>
        <w:rPr>
          <w:spacing w:val="-10"/>
        </w:rPr>
        <w:t xml:space="preserve"> </w:t>
      </w:r>
      <w:r>
        <w:t>standards</w:t>
      </w:r>
      <w:r>
        <w:rPr>
          <w:spacing w:val="-11"/>
        </w:rPr>
        <w:t xml:space="preserve"> </w:t>
      </w:r>
      <w:r>
        <w:t>rather</w:t>
      </w:r>
      <w:r>
        <w:rPr>
          <w:spacing w:val="-10"/>
        </w:rPr>
        <w:t xml:space="preserve"> </w:t>
      </w:r>
      <w:r>
        <w:t>than</w:t>
      </w:r>
      <w:r>
        <w:rPr>
          <w:spacing w:val="-9"/>
        </w:rPr>
        <w:t xml:space="preserve"> </w:t>
      </w:r>
      <w:r>
        <w:t>inflexible</w:t>
      </w:r>
      <w:r>
        <w:rPr>
          <w:spacing w:val="-6"/>
        </w:rPr>
        <w:t xml:space="preserve"> </w:t>
      </w:r>
      <w:r>
        <w:t>laws,</w:t>
      </w:r>
      <w:r>
        <w:rPr>
          <w:spacing w:val="-11"/>
        </w:rPr>
        <w:t xml:space="preserve"> </w:t>
      </w:r>
      <w:r>
        <w:t>which</w:t>
      </w:r>
      <w:r>
        <w:rPr>
          <w:spacing w:val="-11"/>
        </w:rPr>
        <w:t xml:space="preserve"> </w:t>
      </w:r>
      <w:r>
        <w:t>support</w:t>
      </w:r>
      <w:r>
        <w:rPr>
          <w:spacing w:val="-4"/>
        </w:rPr>
        <w:t xml:space="preserve"> </w:t>
      </w:r>
      <w:r>
        <w:t>the</w:t>
      </w:r>
      <w:r>
        <w:rPr>
          <w:spacing w:val="-11"/>
        </w:rPr>
        <w:t xml:space="preserve"> </w:t>
      </w:r>
      <w:r>
        <w:t>cohesion</w:t>
      </w:r>
      <w:r>
        <w:rPr>
          <w:spacing w:val="-13"/>
        </w:rPr>
        <w:t xml:space="preserve"> </w:t>
      </w:r>
      <w:r>
        <w:t>and legitimacy of a legal system (Elbersci, 2022). onsequently, legal principles function as the moral and structural basis for engagement agreements in civil</w:t>
      </w:r>
      <w:r>
        <w:rPr>
          <w:spacing w:val="40"/>
        </w:rPr>
        <w:t xml:space="preserve"> </w:t>
      </w:r>
      <w:r>
        <w:t>law systems.</w:t>
      </w:r>
    </w:p>
    <w:p w:rsidR="00143FDB" w:rsidRDefault="006A44E3">
      <w:pPr>
        <w:pStyle w:val="BodyText"/>
        <w:spacing w:line="278" w:lineRule="auto"/>
        <w:ind w:right="46" w:firstLine="720"/>
      </w:pPr>
      <w:r>
        <w:t>The</w:t>
      </w:r>
      <w:r>
        <w:rPr>
          <w:spacing w:val="-6"/>
        </w:rPr>
        <w:t xml:space="preserve"> </w:t>
      </w:r>
      <w:r>
        <w:t>principle</w:t>
      </w:r>
      <w:r>
        <w:rPr>
          <w:spacing w:val="26"/>
        </w:rPr>
        <w:t xml:space="preserve"> </w:t>
      </w:r>
      <w:r>
        <w:t>of</w:t>
      </w:r>
      <w:r>
        <w:rPr>
          <w:spacing w:val="-3"/>
        </w:rPr>
        <w:t xml:space="preserve"> </w:t>
      </w:r>
      <w:r>
        <w:t>freedom</w:t>
      </w:r>
      <w:r>
        <w:rPr>
          <w:spacing w:val="-9"/>
        </w:rPr>
        <w:t xml:space="preserve"> </w:t>
      </w:r>
      <w:r>
        <w:t>of</w:t>
      </w:r>
      <w:r>
        <w:rPr>
          <w:spacing w:val="-3"/>
        </w:rPr>
        <w:t xml:space="preserve"> </w:t>
      </w:r>
      <w:r>
        <w:t>contract,</w:t>
      </w:r>
      <w:r>
        <w:rPr>
          <w:spacing w:val="-6"/>
        </w:rPr>
        <w:t xml:space="preserve"> </w:t>
      </w:r>
      <w:r>
        <w:t>rooted</w:t>
      </w:r>
      <w:r>
        <w:rPr>
          <w:spacing w:val="-6"/>
        </w:rPr>
        <w:t xml:space="preserve"> </w:t>
      </w:r>
      <w:r>
        <w:t>in</w:t>
      </w:r>
      <w:r>
        <w:rPr>
          <w:spacing w:val="-2"/>
        </w:rPr>
        <w:t xml:space="preserve"> </w:t>
      </w:r>
      <w:r>
        <w:t>classical</w:t>
      </w:r>
      <w:r>
        <w:rPr>
          <w:spacing w:val="-2"/>
        </w:rPr>
        <w:t xml:space="preserve"> </w:t>
      </w:r>
      <w:r>
        <w:t>liberalism,</w:t>
      </w:r>
      <w:r>
        <w:rPr>
          <w:spacing w:val="26"/>
        </w:rPr>
        <w:t xml:space="preserve"> </w:t>
      </w:r>
      <w:r>
        <w:t>asserts</w:t>
      </w:r>
      <w:r>
        <w:rPr>
          <w:spacing w:val="-6"/>
        </w:rPr>
        <w:t xml:space="preserve"> </w:t>
      </w:r>
      <w:r>
        <w:t>individuals'</w:t>
      </w:r>
      <w:r>
        <w:rPr>
          <w:spacing w:val="26"/>
        </w:rPr>
        <w:t xml:space="preserve"> </w:t>
      </w:r>
      <w:r>
        <w:t>sovereignty to define the terms and structure of agreements (Bereza &amp; Bieniak, 2024; Delle Monache, 2019). This freedom</w:t>
      </w:r>
      <w:r>
        <w:rPr>
          <w:spacing w:val="-11"/>
        </w:rPr>
        <w:t xml:space="preserve"> </w:t>
      </w:r>
      <w:r>
        <w:t>is</w:t>
      </w:r>
      <w:r>
        <w:rPr>
          <w:spacing w:val="-8"/>
        </w:rPr>
        <w:t xml:space="preserve"> </w:t>
      </w:r>
      <w:r>
        <w:t>not</w:t>
      </w:r>
      <w:r>
        <w:rPr>
          <w:spacing w:val="-7"/>
        </w:rPr>
        <w:t xml:space="preserve"> </w:t>
      </w:r>
      <w:r>
        <w:t>unlimited,</w:t>
      </w:r>
      <w:r>
        <w:rPr>
          <w:spacing w:val="25"/>
        </w:rPr>
        <w:t xml:space="preserve"> </w:t>
      </w:r>
      <w:r>
        <w:t>it</w:t>
      </w:r>
      <w:r>
        <w:rPr>
          <w:spacing w:val="-9"/>
        </w:rPr>
        <w:t xml:space="preserve"> </w:t>
      </w:r>
      <w:r>
        <w:t>is</w:t>
      </w:r>
      <w:r>
        <w:rPr>
          <w:spacing w:val="-1"/>
        </w:rPr>
        <w:t xml:space="preserve"> </w:t>
      </w:r>
      <w:r>
        <w:t>subject</w:t>
      </w:r>
      <w:r>
        <w:rPr>
          <w:spacing w:val="-8"/>
        </w:rPr>
        <w:t xml:space="preserve"> </w:t>
      </w:r>
      <w:r>
        <w:t>to</w:t>
      </w:r>
      <w:r>
        <w:rPr>
          <w:spacing w:val="-10"/>
        </w:rPr>
        <w:t xml:space="preserve"> </w:t>
      </w:r>
      <w:r>
        <w:t>the</w:t>
      </w:r>
      <w:r>
        <w:rPr>
          <w:spacing w:val="-10"/>
        </w:rPr>
        <w:t xml:space="preserve"> </w:t>
      </w:r>
      <w:r>
        <w:t>restraints</w:t>
      </w:r>
      <w:r>
        <w:rPr>
          <w:spacing w:val="-6"/>
        </w:rPr>
        <w:t xml:space="preserve"> </w:t>
      </w:r>
      <w:r>
        <w:t>of</w:t>
      </w:r>
      <w:r>
        <w:rPr>
          <w:spacing w:val="-7"/>
        </w:rPr>
        <w:t xml:space="preserve"> </w:t>
      </w:r>
      <w:r>
        <w:t>public order,</w:t>
      </w:r>
      <w:r>
        <w:rPr>
          <w:spacing w:val="-8"/>
        </w:rPr>
        <w:t xml:space="preserve"> </w:t>
      </w:r>
      <w:r>
        <w:t>morality, and</w:t>
      </w:r>
      <w:r>
        <w:rPr>
          <w:spacing w:val="-8"/>
        </w:rPr>
        <w:t xml:space="preserve"> </w:t>
      </w:r>
      <w:r>
        <w:t>legal</w:t>
      </w:r>
      <w:r>
        <w:rPr>
          <w:spacing w:val="-9"/>
        </w:rPr>
        <w:t xml:space="preserve"> </w:t>
      </w:r>
      <w:r>
        <w:t>limitations</w:t>
      </w:r>
      <w:r>
        <w:rPr>
          <w:spacing w:val="29"/>
        </w:rPr>
        <w:t xml:space="preserve"> </w:t>
      </w:r>
      <w:r>
        <w:t xml:space="preserve">(Azam &amp; Harianto, 2020; </w:t>
      </w:r>
      <w:r>
        <w:t>Bell, 2020; Nugrahenti &amp; Hernawan, 2024). This equilibrium illustrates the persistent conflict between</w:t>
      </w:r>
      <w:r>
        <w:rPr>
          <w:spacing w:val="-6"/>
        </w:rPr>
        <w:t xml:space="preserve"> </w:t>
      </w:r>
      <w:r>
        <w:t>individual</w:t>
      </w:r>
      <w:r>
        <w:rPr>
          <w:spacing w:val="40"/>
        </w:rPr>
        <w:t xml:space="preserve"> </w:t>
      </w:r>
      <w:r>
        <w:t>autonomy</w:t>
      </w:r>
      <w:r>
        <w:rPr>
          <w:spacing w:val="40"/>
        </w:rPr>
        <w:t xml:space="preserve"> </w:t>
      </w:r>
      <w:r>
        <w:t>and</w:t>
      </w:r>
      <w:r>
        <w:rPr>
          <w:spacing w:val="-8"/>
        </w:rPr>
        <w:t xml:space="preserve"> </w:t>
      </w:r>
      <w:r>
        <w:t>regulatory supervision</w:t>
      </w:r>
      <w:r>
        <w:rPr>
          <w:spacing w:val="40"/>
        </w:rPr>
        <w:t xml:space="preserve"> </w:t>
      </w:r>
      <w:r>
        <w:t>in contract</w:t>
      </w:r>
      <w:r>
        <w:rPr>
          <w:spacing w:val="-1"/>
        </w:rPr>
        <w:t xml:space="preserve"> </w:t>
      </w:r>
      <w:r>
        <w:t>enforcement.</w:t>
      </w:r>
    </w:p>
    <w:p w:rsidR="00143FDB" w:rsidRDefault="006A44E3">
      <w:pPr>
        <w:pStyle w:val="BodyText"/>
        <w:spacing w:line="276" w:lineRule="auto"/>
        <w:ind w:right="67" w:firstLine="720"/>
      </w:pPr>
      <w:r>
        <w:t>The Civil Code, namely Article 1320, delineates the formal and material prerequisites for a legal contract,</w:t>
      </w:r>
      <w:r>
        <w:rPr>
          <w:spacing w:val="-7"/>
        </w:rPr>
        <w:t xml:space="preserve"> </w:t>
      </w:r>
      <w:r>
        <w:t>differentiating</w:t>
      </w:r>
      <w:r>
        <w:rPr>
          <w:spacing w:val="-9"/>
        </w:rPr>
        <w:t xml:space="preserve"> </w:t>
      </w:r>
      <w:r>
        <w:t>between</w:t>
      </w:r>
      <w:r>
        <w:rPr>
          <w:spacing w:val="-8"/>
        </w:rPr>
        <w:t xml:space="preserve"> </w:t>
      </w:r>
      <w:r>
        <w:t>subjective</w:t>
      </w:r>
      <w:r>
        <w:rPr>
          <w:spacing w:val="-3"/>
        </w:rPr>
        <w:t xml:space="preserve"> </w:t>
      </w:r>
      <w:r>
        <w:t>and</w:t>
      </w:r>
      <w:r>
        <w:rPr>
          <w:spacing w:val="-8"/>
        </w:rPr>
        <w:t xml:space="preserve"> </w:t>
      </w:r>
      <w:r>
        <w:t>objective</w:t>
      </w:r>
      <w:r>
        <w:rPr>
          <w:spacing w:val="-2"/>
        </w:rPr>
        <w:t xml:space="preserve"> </w:t>
      </w:r>
      <w:r>
        <w:t>components</w:t>
      </w:r>
      <w:r>
        <w:rPr>
          <w:spacing w:val="14"/>
        </w:rPr>
        <w:t xml:space="preserve"> </w:t>
      </w:r>
      <w:r>
        <w:t>(Kurniawan</w:t>
      </w:r>
      <w:r>
        <w:rPr>
          <w:spacing w:val="-9"/>
        </w:rPr>
        <w:t xml:space="preserve"> </w:t>
      </w:r>
      <w:r>
        <w:t>et</w:t>
      </w:r>
      <w:r>
        <w:rPr>
          <w:spacing w:val="-9"/>
        </w:rPr>
        <w:t xml:space="preserve"> </w:t>
      </w:r>
      <w:r>
        <w:t>al.,</w:t>
      </w:r>
      <w:r>
        <w:rPr>
          <w:spacing w:val="-4"/>
        </w:rPr>
        <w:t xml:space="preserve"> </w:t>
      </w:r>
      <w:r>
        <w:t>2022;</w:t>
      </w:r>
      <w:r>
        <w:rPr>
          <w:spacing w:val="-1"/>
        </w:rPr>
        <w:t xml:space="preserve"> </w:t>
      </w:r>
      <w:r>
        <w:t>Noor,</w:t>
      </w:r>
      <w:r>
        <w:rPr>
          <w:spacing w:val="-7"/>
        </w:rPr>
        <w:t xml:space="preserve"> </w:t>
      </w:r>
      <w:r>
        <w:t>2021; Nugroho, 2023). These clauses are further delineate</w:t>
      </w:r>
      <w:r>
        <w:t>d through interpretations such as essentialia, naturalia, and accidentalia, which categorize contractual elements according to their legal need (Abubakar &amp; Handayani, 2023; Bell, 2018). This classification guarantees that contracts adhere to legal formalit</w:t>
      </w:r>
      <w:r>
        <w:t>ies and substantive equity.</w:t>
      </w:r>
    </w:p>
    <w:p w:rsidR="00143FDB" w:rsidRDefault="006A44E3">
      <w:pPr>
        <w:pStyle w:val="BodyText"/>
        <w:spacing w:line="278" w:lineRule="auto"/>
        <w:ind w:right="53" w:firstLine="720"/>
      </w:pPr>
      <w:r>
        <w:t>The enforceability of agreements</w:t>
      </w:r>
      <w:r>
        <w:rPr>
          <w:spacing w:val="-1"/>
        </w:rPr>
        <w:t xml:space="preserve"> </w:t>
      </w:r>
      <w:r>
        <w:t>is rooted</w:t>
      </w:r>
      <w:r>
        <w:rPr>
          <w:spacing w:val="-1"/>
        </w:rPr>
        <w:t xml:space="preserve"> </w:t>
      </w:r>
      <w:r>
        <w:t>in the principle</w:t>
      </w:r>
      <w:r>
        <w:rPr>
          <w:spacing w:val="38"/>
        </w:rPr>
        <w:t xml:space="preserve"> </w:t>
      </w:r>
      <w:r>
        <w:t>of pacta</w:t>
      </w:r>
      <w:r>
        <w:rPr>
          <w:spacing w:val="-1"/>
        </w:rPr>
        <w:t xml:space="preserve"> </w:t>
      </w:r>
      <w:r>
        <w:t>sunt servanda,</w:t>
      </w:r>
      <w:r>
        <w:rPr>
          <w:spacing w:val="-4"/>
        </w:rPr>
        <w:t xml:space="preserve"> </w:t>
      </w:r>
      <w:r>
        <w:t>which mandates that</w:t>
      </w:r>
      <w:r>
        <w:rPr>
          <w:spacing w:val="-1"/>
        </w:rPr>
        <w:t xml:space="preserve"> </w:t>
      </w:r>
      <w:r>
        <w:t>parties</w:t>
      </w:r>
      <w:r>
        <w:rPr>
          <w:spacing w:val="-1"/>
        </w:rPr>
        <w:t xml:space="preserve"> </w:t>
      </w:r>
      <w:r>
        <w:t>fulfill contracts</w:t>
      </w:r>
      <w:r>
        <w:rPr>
          <w:spacing w:val="-3"/>
        </w:rPr>
        <w:t xml:space="preserve"> </w:t>
      </w:r>
      <w:r>
        <w:t>in good faith and</w:t>
      </w:r>
      <w:r>
        <w:rPr>
          <w:spacing w:val="-2"/>
        </w:rPr>
        <w:t xml:space="preserve"> </w:t>
      </w:r>
      <w:r>
        <w:t>equitable rationality</w:t>
      </w:r>
      <w:r>
        <w:rPr>
          <w:spacing w:val="25"/>
        </w:rPr>
        <w:t xml:space="preserve"> </w:t>
      </w:r>
      <w:r>
        <w:t>(Sieber-Gasser,</w:t>
      </w:r>
      <w:r>
        <w:rPr>
          <w:spacing w:val="-4"/>
        </w:rPr>
        <w:t xml:space="preserve"> </w:t>
      </w:r>
      <w:r>
        <w:t>2021; Witzleb, 2022).</w:t>
      </w:r>
      <w:r>
        <w:rPr>
          <w:spacing w:val="-3"/>
        </w:rPr>
        <w:t xml:space="preserve"> </w:t>
      </w:r>
      <w:r>
        <w:t>In Indonesian law, t</w:t>
      </w:r>
      <w:r>
        <w:t>he principle of good faith functions both objectively, through reasonable conduct, and subjectively,</w:t>
      </w:r>
      <w:r>
        <w:rPr>
          <w:spacing w:val="37"/>
        </w:rPr>
        <w:t xml:space="preserve"> </w:t>
      </w:r>
      <w:r>
        <w:t>through internal integrity</w:t>
      </w:r>
      <w:r>
        <w:rPr>
          <w:spacing w:val="31"/>
        </w:rPr>
        <w:t xml:space="preserve"> </w:t>
      </w:r>
      <w:r>
        <w:t>(Butarbutar, 2020). These twin aspects enhance the enforcement of agreements while</w:t>
      </w:r>
      <w:r>
        <w:rPr>
          <w:spacing w:val="40"/>
        </w:rPr>
        <w:t xml:space="preserve"> </w:t>
      </w:r>
      <w:r>
        <w:t>assuring equity</w:t>
      </w:r>
      <w:r>
        <w:rPr>
          <w:spacing w:val="40"/>
        </w:rPr>
        <w:t xml:space="preserve"> </w:t>
      </w:r>
      <w:r>
        <w:t>and predictability.</w:t>
      </w:r>
    </w:p>
    <w:p w:rsidR="00143FDB" w:rsidRDefault="006A44E3">
      <w:pPr>
        <w:pStyle w:val="BodyText"/>
        <w:spacing w:line="278" w:lineRule="auto"/>
        <w:ind w:right="63" w:firstLine="720"/>
      </w:pPr>
      <w:r>
        <w:t>Contempor</w:t>
      </w:r>
      <w:r>
        <w:t>ary views of good faith highlight its functional roles: augmenting contractual content, constraining abusive provisions, and nullifying inequitable enforcement (LONg, 2024; Targa &amp; Riemenschneider, 2022). Scholars argue that good faith adapts to societal t</w:t>
      </w:r>
      <w:r>
        <w:t>ransformations and necessitates contextual</w:t>
      </w:r>
      <w:r>
        <w:rPr>
          <w:spacing w:val="-6"/>
        </w:rPr>
        <w:t xml:space="preserve"> </w:t>
      </w:r>
      <w:r>
        <w:t>interpretation</w:t>
      </w:r>
      <w:r>
        <w:rPr>
          <w:spacing w:val="-4"/>
        </w:rPr>
        <w:t xml:space="preserve"> </w:t>
      </w:r>
      <w:r>
        <w:t>in</w:t>
      </w:r>
      <w:r>
        <w:rPr>
          <w:spacing w:val="-3"/>
        </w:rPr>
        <w:t xml:space="preserve"> </w:t>
      </w:r>
      <w:r>
        <w:t>economic dealings (Laverde,</w:t>
      </w:r>
      <w:r>
        <w:rPr>
          <w:spacing w:val="-4"/>
        </w:rPr>
        <w:t xml:space="preserve"> </w:t>
      </w:r>
      <w:r>
        <w:t>2021; Mirmina, 2022).</w:t>
      </w:r>
      <w:r>
        <w:rPr>
          <w:spacing w:val="-1"/>
        </w:rPr>
        <w:t xml:space="preserve"> </w:t>
      </w:r>
      <w:r>
        <w:t>This doctrinal adaptability enables the legal system to address power disparities</w:t>
      </w:r>
      <w:r>
        <w:rPr>
          <w:spacing w:val="40"/>
        </w:rPr>
        <w:t xml:space="preserve"> </w:t>
      </w:r>
      <w:r>
        <w:t>in standardized banking</w:t>
      </w:r>
      <w:r>
        <w:rPr>
          <w:spacing w:val="40"/>
        </w:rPr>
        <w:t xml:space="preserve"> </w:t>
      </w:r>
      <w:r>
        <w:t>contracts.</w:t>
      </w:r>
    </w:p>
    <w:p w:rsidR="00143FDB" w:rsidRDefault="006A44E3">
      <w:pPr>
        <w:pStyle w:val="BodyText"/>
        <w:spacing w:line="285" w:lineRule="auto"/>
        <w:ind w:right="62" w:firstLine="720"/>
      </w:pPr>
      <w:r>
        <w:t>The principle of legal certa</w:t>
      </w:r>
      <w:r>
        <w:t>inty requires that legal norms be explicit, foreseeable, and uniformly enforced</w:t>
      </w:r>
      <w:r>
        <w:rPr>
          <w:spacing w:val="-14"/>
        </w:rPr>
        <w:t xml:space="preserve"> </w:t>
      </w:r>
      <w:r>
        <w:t>in</w:t>
      </w:r>
      <w:r>
        <w:rPr>
          <w:spacing w:val="-2"/>
        </w:rPr>
        <w:t xml:space="preserve"> </w:t>
      </w:r>
      <w:r>
        <w:t>judicial</w:t>
      </w:r>
      <w:r>
        <w:rPr>
          <w:spacing w:val="40"/>
        </w:rPr>
        <w:t xml:space="preserve"> </w:t>
      </w:r>
      <w:r>
        <w:t>and</w:t>
      </w:r>
      <w:r>
        <w:rPr>
          <w:spacing w:val="-12"/>
        </w:rPr>
        <w:t xml:space="preserve"> </w:t>
      </w:r>
      <w:r>
        <w:t>administrative</w:t>
      </w:r>
      <w:r>
        <w:rPr>
          <w:spacing w:val="40"/>
        </w:rPr>
        <w:t xml:space="preserve"> </w:t>
      </w:r>
      <w:r>
        <w:t>proceedings (Tarmizi,</w:t>
      </w:r>
      <w:r>
        <w:rPr>
          <w:spacing w:val="24"/>
        </w:rPr>
        <w:t xml:space="preserve"> </w:t>
      </w:r>
      <w:r>
        <w:t>2020). In credit enforcement,</w:t>
      </w:r>
      <w:r>
        <w:rPr>
          <w:spacing w:val="-11"/>
        </w:rPr>
        <w:t xml:space="preserve"> </w:t>
      </w:r>
      <w:r>
        <w:t>legal certainty</w:t>
      </w:r>
    </w:p>
    <w:p w:rsidR="00143FDB" w:rsidRDefault="00143FDB">
      <w:pPr>
        <w:pStyle w:val="BodyText"/>
        <w:spacing w:line="285" w:lineRule="auto"/>
        <w:sectPr w:rsidR="00143FDB">
          <w:pgSz w:w="11920" w:h="16860"/>
          <w:pgMar w:top="1460" w:right="1133" w:bottom="2020" w:left="1133" w:header="282" w:footer="1831" w:gutter="0"/>
          <w:cols w:space="720"/>
        </w:sectPr>
      </w:pPr>
    </w:p>
    <w:p w:rsidR="00143FDB" w:rsidRDefault="006A44E3">
      <w:pPr>
        <w:pStyle w:val="BodyText"/>
        <w:spacing w:before="81" w:line="271" w:lineRule="auto"/>
        <w:ind w:right="89"/>
      </w:pPr>
      <w:r>
        <w:lastRenderedPageBreak/>
        <w:t>guarantees</w:t>
      </w:r>
      <w:r>
        <w:rPr>
          <w:spacing w:val="-16"/>
        </w:rPr>
        <w:t xml:space="preserve"> </w:t>
      </w:r>
      <w:r>
        <w:t>the</w:t>
      </w:r>
      <w:r>
        <w:rPr>
          <w:spacing w:val="-14"/>
        </w:rPr>
        <w:t xml:space="preserve"> </w:t>
      </w:r>
      <w:r>
        <w:t>unambiguous</w:t>
      </w:r>
      <w:r>
        <w:rPr>
          <w:spacing w:val="-14"/>
        </w:rPr>
        <w:t xml:space="preserve"> </w:t>
      </w:r>
      <w:r>
        <w:t>resolution</w:t>
      </w:r>
      <w:r>
        <w:rPr>
          <w:spacing w:val="-13"/>
        </w:rPr>
        <w:t xml:space="preserve"> </w:t>
      </w:r>
      <w:r>
        <w:t>of</w:t>
      </w:r>
      <w:r>
        <w:rPr>
          <w:spacing w:val="-14"/>
        </w:rPr>
        <w:t xml:space="preserve"> </w:t>
      </w:r>
      <w:r>
        <w:t>contractual</w:t>
      </w:r>
      <w:r>
        <w:rPr>
          <w:spacing w:val="-14"/>
        </w:rPr>
        <w:t xml:space="preserve"> </w:t>
      </w:r>
      <w:r>
        <w:t>obligations,</w:t>
      </w:r>
      <w:r>
        <w:rPr>
          <w:spacing w:val="-14"/>
        </w:rPr>
        <w:t xml:space="preserve"> </w:t>
      </w:r>
      <w:r>
        <w:t>allowing</w:t>
      </w:r>
      <w:r>
        <w:rPr>
          <w:spacing w:val="-13"/>
        </w:rPr>
        <w:t xml:space="preserve"> </w:t>
      </w:r>
      <w:r>
        <w:t>creditors</w:t>
      </w:r>
      <w:r>
        <w:rPr>
          <w:spacing w:val="-14"/>
        </w:rPr>
        <w:t xml:space="preserve"> </w:t>
      </w:r>
      <w:r>
        <w:t>to</w:t>
      </w:r>
      <w:r>
        <w:rPr>
          <w:spacing w:val="-14"/>
        </w:rPr>
        <w:t xml:space="preserve"> </w:t>
      </w:r>
      <w:r>
        <w:t>depend</w:t>
      </w:r>
      <w:r>
        <w:rPr>
          <w:spacing w:val="-14"/>
        </w:rPr>
        <w:t xml:space="preserve"> </w:t>
      </w:r>
      <w:r>
        <w:t>on</w:t>
      </w:r>
      <w:r>
        <w:rPr>
          <w:spacing w:val="-13"/>
        </w:rPr>
        <w:t xml:space="preserve"> </w:t>
      </w:r>
      <w:r>
        <w:t>legislative remedies (Muslim et al., 2023). This principle</w:t>
      </w:r>
      <w:r>
        <w:rPr>
          <w:spacing w:val="39"/>
        </w:rPr>
        <w:t xml:space="preserve"> </w:t>
      </w:r>
      <w:r>
        <w:t>is particularly vital in mortgage execution, where disputes must be resolved efficiently</w:t>
      </w:r>
      <w:r>
        <w:rPr>
          <w:spacing w:val="40"/>
        </w:rPr>
        <w:t xml:space="preserve"> </w:t>
      </w:r>
      <w:r>
        <w:t>and transparently.</w:t>
      </w:r>
    </w:p>
    <w:p w:rsidR="00143FDB" w:rsidRDefault="006A44E3">
      <w:pPr>
        <w:pStyle w:val="BodyText"/>
        <w:spacing w:before="14" w:line="273" w:lineRule="auto"/>
        <w:ind w:right="62" w:firstLine="720"/>
      </w:pPr>
      <w:r>
        <w:t>Law enforcement theories, such as responsive</w:t>
      </w:r>
      <w:r>
        <w:t xml:space="preserve"> legal theory and sociological jurisprudence, argue that law must serve not only doctrinal coherence but also social justice outcomes (Bengoetxea, 2020; Matyasovszky-Németh &amp;</w:t>
      </w:r>
      <w:r>
        <w:rPr>
          <w:spacing w:val="-4"/>
        </w:rPr>
        <w:t xml:space="preserve"> </w:t>
      </w:r>
      <w:r>
        <w:t>Fábián, 2025). The</w:t>
      </w:r>
      <w:r>
        <w:rPr>
          <w:spacing w:val="-2"/>
        </w:rPr>
        <w:t xml:space="preserve"> </w:t>
      </w:r>
      <w:r>
        <w:t>execution of credit agreements</w:t>
      </w:r>
      <w:r>
        <w:rPr>
          <w:spacing w:val="-2"/>
        </w:rPr>
        <w:t xml:space="preserve"> </w:t>
      </w:r>
      <w:r>
        <w:t xml:space="preserve">must reconcile legal certainty </w:t>
      </w:r>
      <w:r>
        <w:t>with judicial discretion to ensure context-based fairness (Afwa et al., 2024). The incorporation of responsiveness bolsters the legitimacy of legislation</w:t>
      </w:r>
      <w:r>
        <w:rPr>
          <w:spacing w:val="40"/>
        </w:rPr>
        <w:t xml:space="preserve"> </w:t>
      </w:r>
      <w:r>
        <w:t>in economic governance.</w:t>
      </w:r>
    </w:p>
    <w:p w:rsidR="00143FDB" w:rsidRDefault="006A44E3">
      <w:pPr>
        <w:pStyle w:val="BodyText"/>
        <w:spacing w:before="12" w:line="273" w:lineRule="auto"/>
        <w:ind w:right="53" w:firstLine="720"/>
      </w:pPr>
      <w:r>
        <w:t>The</w:t>
      </w:r>
      <w:r>
        <w:rPr>
          <w:spacing w:val="-7"/>
        </w:rPr>
        <w:t xml:space="preserve"> </w:t>
      </w:r>
      <w:r>
        <w:t>concept</w:t>
      </w:r>
      <w:r>
        <w:rPr>
          <w:spacing w:val="-3"/>
        </w:rPr>
        <w:t xml:space="preserve"> </w:t>
      </w:r>
      <w:r>
        <w:t>of justice as</w:t>
      </w:r>
      <w:r>
        <w:rPr>
          <w:spacing w:val="-4"/>
        </w:rPr>
        <w:t xml:space="preserve"> </w:t>
      </w:r>
      <w:r>
        <w:t>a</w:t>
      </w:r>
      <w:r>
        <w:rPr>
          <w:spacing w:val="-7"/>
        </w:rPr>
        <w:t xml:space="preserve"> </w:t>
      </w:r>
      <w:r>
        <w:t>legal norm</w:t>
      </w:r>
      <w:r>
        <w:rPr>
          <w:spacing w:val="-5"/>
        </w:rPr>
        <w:t xml:space="preserve"> </w:t>
      </w:r>
      <w:r>
        <w:t>is frequently contested</w:t>
      </w:r>
      <w:r>
        <w:rPr>
          <w:spacing w:val="-5"/>
        </w:rPr>
        <w:t xml:space="preserve"> </w:t>
      </w:r>
      <w:r>
        <w:t>between</w:t>
      </w:r>
      <w:r>
        <w:rPr>
          <w:spacing w:val="-4"/>
        </w:rPr>
        <w:t xml:space="preserve"> </w:t>
      </w:r>
      <w:r>
        <w:t>utilita</w:t>
      </w:r>
      <w:r>
        <w:t>rian</w:t>
      </w:r>
      <w:r>
        <w:rPr>
          <w:spacing w:val="30"/>
        </w:rPr>
        <w:t xml:space="preserve"> </w:t>
      </w:r>
      <w:r>
        <w:t>and</w:t>
      </w:r>
      <w:r>
        <w:rPr>
          <w:spacing w:val="-2"/>
        </w:rPr>
        <w:t xml:space="preserve"> </w:t>
      </w:r>
      <w:r>
        <w:t>deontological frameworks,</w:t>
      </w:r>
      <w:r>
        <w:rPr>
          <w:spacing w:val="-11"/>
        </w:rPr>
        <w:t xml:space="preserve"> </w:t>
      </w:r>
      <w:r>
        <w:t>each</w:t>
      </w:r>
      <w:r>
        <w:rPr>
          <w:spacing w:val="-12"/>
        </w:rPr>
        <w:t xml:space="preserve"> </w:t>
      </w:r>
      <w:r>
        <w:t>presenting</w:t>
      </w:r>
      <w:r>
        <w:rPr>
          <w:spacing w:val="-13"/>
        </w:rPr>
        <w:t xml:space="preserve"> </w:t>
      </w:r>
      <w:r>
        <w:t>divergent</w:t>
      </w:r>
      <w:r>
        <w:rPr>
          <w:spacing w:val="-9"/>
        </w:rPr>
        <w:t xml:space="preserve"> </w:t>
      </w:r>
      <w:r>
        <w:t>viewpoints</w:t>
      </w:r>
      <w:r>
        <w:rPr>
          <w:spacing w:val="-11"/>
        </w:rPr>
        <w:t xml:space="preserve"> </w:t>
      </w:r>
      <w:r>
        <w:t>on</w:t>
      </w:r>
      <w:r>
        <w:rPr>
          <w:spacing w:val="-12"/>
        </w:rPr>
        <w:t xml:space="preserve"> </w:t>
      </w:r>
      <w:r>
        <w:t>equity</w:t>
      </w:r>
      <w:r>
        <w:rPr>
          <w:spacing w:val="-14"/>
        </w:rPr>
        <w:t xml:space="preserve"> </w:t>
      </w:r>
      <w:r>
        <w:t>in</w:t>
      </w:r>
      <w:r>
        <w:rPr>
          <w:spacing w:val="-12"/>
        </w:rPr>
        <w:t xml:space="preserve"> </w:t>
      </w:r>
      <w:r>
        <w:t>contract</w:t>
      </w:r>
      <w:r>
        <w:rPr>
          <w:spacing w:val="-10"/>
        </w:rPr>
        <w:t xml:space="preserve"> </w:t>
      </w:r>
      <w:r>
        <w:t>fulfillment</w:t>
      </w:r>
      <w:r>
        <w:rPr>
          <w:spacing w:val="15"/>
        </w:rPr>
        <w:t xml:space="preserve"> </w:t>
      </w:r>
      <w:r>
        <w:t>(Spector,</w:t>
      </w:r>
      <w:r>
        <w:rPr>
          <w:spacing w:val="-11"/>
        </w:rPr>
        <w:t xml:space="preserve"> </w:t>
      </w:r>
      <w:r>
        <w:t>2021;</w:t>
      </w:r>
      <w:r>
        <w:rPr>
          <w:spacing w:val="-5"/>
        </w:rPr>
        <w:t xml:space="preserve"> </w:t>
      </w:r>
      <w:r>
        <w:t>Tusseau, 2024). In the context of bank</w:t>
      </w:r>
      <w:r>
        <w:rPr>
          <w:spacing w:val="-2"/>
        </w:rPr>
        <w:t xml:space="preserve"> </w:t>
      </w:r>
      <w:r>
        <w:t>credit, equity necessitates that</w:t>
      </w:r>
      <w:r>
        <w:rPr>
          <w:spacing w:val="-6"/>
        </w:rPr>
        <w:t xml:space="preserve"> </w:t>
      </w:r>
      <w:r>
        <w:t>enforcement</w:t>
      </w:r>
      <w:r>
        <w:rPr>
          <w:spacing w:val="-2"/>
        </w:rPr>
        <w:t xml:space="preserve"> </w:t>
      </w:r>
      <w:r>
        <w:t>methods do not unduly encumber either party, and that rights are safeguarded in a balanced fashion (Bahar et al., 2023). Embedding this concept in credit enforcement fosters equitable</w:t>
      </w:r>
      <w:r>
        <w:rPr>
          <w:spacing w:val="40"/>
        </w:rPr>
        <w:t xml:space="preserve"> </w:t>
      </w:r>
      <w:r>
        <w:t>treatment in legal remedies.</w:t>
      </w:r>
    </w:p>
    <w:p w:rsidR="00143FDB" w:rsidRDefault="00143FDB">
      <w:pPr>
        <w:pStyle w:val="BodyText"/>
        <w:spacing w:before="62"/>
        <w:ind w:left="0"/>
        <w:jc w:val="left"/>
      </w:pPr>
    </w:p>
    <w:p w:rsidR="00143FDB" w:rsidRDefault="006A44E3">
      <w:pPr>
        <w:pStyle w:val="Heading2"/>
        <w:spacing w:before="1"/>
      </w:pPr>
      <w:r>
        <w:t>RESEARCH</w:t>
      </w:r>
      <w:r>
        <w:rPr>
          <w:spacing w:val="9"/>
        </w:rPr>
        <w:t xml:space="preserve"> </w:t>
      </w:r>
      <w:r>
        <w:rPr>
          <w:spacing w:val="-2"/>
        </w:rPr>
        <w:t>METHODS</w:t>
      </w:r>
    </w:p>
    <w:p w:rsidR="00143FDB" w:rsidRDefault="006A44E3">
      <w:pPr>
        <w:pStyle w:val="BodyText"/>
        <w:spacing w:before="27" w:line="273" w:lineRule="auto"/>
        <w:ind w:right="60" w:firstLine="720"/>
      </w:pPr>
      <w:r>
        <w:t xml:space="preserve">This research employed a </w:t>
      </w:r>
      <w:r>
        <w:t>descriptive qualitative methodology to analyze the normative basis and execution of legal principles in Indonesian bank loan agreements (Cairo et al., 2024; Mitchell, 2023). Qualitative research in law prioritizes conceptual profundity, concentrating on th</w:t>
      </w:r>
      <w:r>
        <w:t>e textual and contextual analysis of legal sources. This method facilitates a thorough comprehension of the integration</w:t>
      </w:r>
      <w:r>
        <w:rPr>
          <w:spacing w:val="40"/>
        </w:rPr>
        <w:t xml:space="preserve"> </w:t>
      </w:r>
      <w:r>
        <w:t>of abstract legal ideas inside</w:t>
      </w:r>
      <w:r>
        <w:rPr>
          <w:spacing w:val="40"/>
        </w:rPr>
        <w:t xml:space="preserve"> </w:t>
      </w:r>
      <w:r>
        <w:t>regulatory frameworks and contractual practices.</w:t>
      </w:r>
    </w:p>
    <w:p w:rsidR="00143FDB" w:rsidRDefault="006A44E3">
      <w:pPr>
        <w:pStyle w:val="BodyText"/>
        <w:spacing w:before="13" w:line="273" w:lineRule="auto"/>
        <w:ind w:right="54" w:firstLine="720"/>
      </w:pPr>
      <w:r>
        <w:t>The research predominantly employed statutory rules, judicial rulings, sample bank credit agreements,</w:t>
      </w:r>
      <w:r>
        <w:rPr>
          <w:spacing w:val="-4"/>
        </w:rPr>
        <w:t xml:space="preserve"> </w:t>
      </w:r>
      <w:r>
        <w:t>and</w:t>
      </w:r>
      <w:r>
        <w:rPr>
          <w:spacing w:val="-8"/>
        </w:rPr>
        <w:t xml:space="preserve"> </w:t>
      </w:r>
      <w:r>
        <w:t>legal</w:t>
      </w:r>
      <w:r>
        <w:rPr>
          <w:spacing w:val="-2"/>
        </w:rPr>
        <w:t xml:space="preserve"> </w:t>
      </w:r>
      <w:r>
        <w:t>principles</w:t>
      </w:r>
      <w:r>
        <w:rPr>
          <w:spacing w:val="35"/>
        </w:rPr>
        <w:t xml:space="preserve"> </w:t>
      </w:r>
      <w:r>
        <w:t>as</w:t>
      </w:r>
      <w:r>
        <w:rPr>
          <w:spacing w:val="-5"/>
        </w:rPr>
        <w:t xml:space="preserve"> </w:t>
      </w:r>
      <w:r>
        <w:t>its</w:t>
      </w:r>
      <w:r>
        <w:rPr>
          <w:spacing w:val="-1"/>
        </w:rPr>
        <w:t xml:space="preserve"> </w:t>
      </w:r>
      <w:r>
        <w:t>primary</w:t>
      </w:r>
      <w:r>
        <w:rPr>
          <w:spacing w:val="-1"/>
        </w:rPr>
        <w:t xml:space="preserve"> </w:t>
      </w:r>
      <w:r>
        <w:t>data</w:t>
      </w:r>
      <w:r>
        <w:rPr>
          <w:spacing w:val="-1"/>
        </w:rPr>
        <w:t xml:space="preserve"> </w:t>
      </w:r>
      <w:r>
        <w:t>sources.</w:t>
      </w:r>
      <w:r>
        <w:rPr>
          <w:spacing w:val="-1"/>
        </w:rPr>
        <w:t xml:space="preserve"> </w:t>
      </w:r>
      <w:r>
        <w:t>Secondary</w:t>
      </w:r>
      <w:r>
        <w:rPr>
          <w:spacing w:val="-8"/>
        </w:rPr>
        <w:t xml:space="preserve"> </w:t>
      </w:r>
      <w:r>
        <w:t>data</w:t>
      </w:r>
      <w:r>
        <w:rPr>
          <w:spacing w:val="-2"/>
        </w:rPr>
        <w:t xml:space="preserve"> </w:t>
      </w:r>
      <w:r>
        <w:t>comprised</w:t>
      </w:r>
      <w:r>
        <w:rPr>
          <w:spacing w:val="-1"/>
        </w:rPr>
        <w:t xml:space="preserve"> </w:t>
      </w:r>
      <w:r>
        <w:t>academic</w:t>
      </w:r>
      <w:r>
        <w:rPr>
          <w:spacing w:val="-2"/>
        </w:rPr>
        <w:t xml:space="preserve"> </w:t>
      </w:r>
      <w:r>
        <w:t>literature, financial regulatory frameworks, and pertinent legal analy</w:t>
      </w:r>
      <w:r>
        <w:t>ses from national authorities</w:t>
      </w:r>
      <w:r>
        <w:rPr>
          <w:spacing w:val="38"/>
        </w:rPr>
        <w:t xml:space="preserve"> </w:t>
      </w:r>
      <w:r>
        <w:t>and legal scholars. These sources were chosen to guarantee triangulation and contextual precision in evaluating credit-related legal standards.</w:t>
      </w:r>
    </w:p>
    <w:p w:rsidR="00143FDB" w:rsidRDefault="006A44E3">
      <w:pPr>
        <w:pStyle w:val="BodyText"/>
        <w:spacing w:before="10" w:line="276" w:lineRule="auto"/>
        <w:ind w:right="65" w:firstLine="720"/>
      </w:pPr>
      <w:r>
        <w:t>The analysis utilized Miles and Huberman’s flow model, comprising four stages: dat</w:t>
      </w:r>
      <w:r>
        <w:t>a gathering, data reduction, data display, and conclusion drawing/verification (Bingham, 2023; Mihas, 2022). This paradigm facilitates the iterative assessment of legal text to discern patterns, principles, and normative consistencies among sources. To enh</w:t>
      </w:r>
      <w:r>
        <w:t>ance interpretive validity, the analysis was guided by Mayring’s qualitative content</w:t>
      </w:r>
      <w:r>
        <w:rPr>
          <w:spacing w:val="-3"/>
        </w:rPr>
        <w:t xml:space="preserve"> </w:t>
      </w:r>
      <w:r>
        <w:t>analysis</w:t>
      </w:r>
      <w:r>
        <w:rPr>
          <w:spacing w:val="-2"/>
        </w:rPr>
        <w:t xml:space="preserve"> </w:t>
      </w:r>
      <w:r>
        <w:t>model, which</w:t>
      </w:r>
      <w:r>
        <w:rPr>
          <w:spacing w:val="-5"/>
        </w:rPr>
        <w:t xml:space="preserve"> </w:t>
      </w:r>
      <w:r>
        <w:t>offers</w:t>
      </w:r>
      <w:r>
        <w:rPr>
          <w:spacing w:val="-8"/>
        </w:rPr>
        <w:t xml:space="preserve"> </w:t>
      </w:r>
      <w:r>
        <w:t>a</w:t>
      </w:r>
      <w:r>
        <w:rPr>
          <w:spacing w:val="-5"/>
        </w:rPr>
        <w:t xml:space="preserve"> </w:t>
      </w:r>
      <w:r>
        <w:t>systematic approach</w:t>
      </w:r>
      <w:r>
        <w:rPr>
          <w:spacing w:val="-8"/>
        </w:rPr>
        <w:t xml:space="preserve"> </w:t>
      </w:r>
      <w:r>
        <w:t>to</w:t>
      </w:r>
      <w:r>
        <w:rPr>
          <w:spacing w:val="-6"/>
        </w:rPr>
        <w:t xml:space="preserve"> </w:t>
      </w:r>
      <w:r>
        <w:t>deriving</w:t>
      </w:r>
      <w:r>
        <w:rPr>
          <w:spacing w:val="-5"/>
        </w:rPr>
        <w:t xml:space="preserve"> </w:t>
      </w:r>
      <w:r>
        <w:t>meaning</w:t>
      </w:r>
      <w:r>
        <w:rPr>
          <w:spacing w:val="-3"/>
        </w:rPr>
        <w:t xml:space="preserve"> </w:t>
      </w:r>
      <w:r>
        <w:t>from</w:t>
      </w:r>
      <w:r>
        <w:rPr>
          <w:spacing w:val="-4"/>
        </w:rPr>
        <w:t xml:space="preserve"> </w:t>
      </w:r>
      <w:r>
        <w:t>legal</w:t>
      </w:r>
      <w:r>
        <w:rPr>
          <w:spacing w:val="-2"/>
        </w:rPr>
        <w:t xml:space="preserve"> </w:t>
      </w:r>
      <w:r>
        <w:t>texts (Baxter, 2019; Salehijam,</w:t>
      </w:r>
      <w:r>
        <w:rPr>
          <w:spacing w:val="40"/>
        </w:rPr>
        <w:t xml:space="preserve"> </w:t>
      </w:r>
      <w:r>
        <w:t>2018).</w:t>
      </w:r>
    </w:p>
    <w:p w:rsidR="00143FDB" w:rsidRDefault="00143FDB">
      <w:pPr>
        <w:pStyle w:val="BodyText"/>
        <w:spacing w:before="73"/>
        <w:ind w:left="0"/>
        <w:jc w:val="left"/>
      </w:pPr>
    </w:p>
    <w:p w:rsidR="00143FDB" w:rsidRDefault="006A44E3">
      <w:pPr>
        <w:pStyle w:val="Heading1"/>
        <w:spacing w:before="0"/>
        <w:ind w:left="113"/>
      </w:pPr>
      <w:r>
        <w:rPr>
          <w:spacing w:val="-2"/>
        </w:rPr>
        <w:t>RESULTS</w:t>
      </w:r>
    </w:p>
    <w:p w:rsidR="00143FDB" w:rsidRDefault="006A44E3">
      <w:pPr>
        <w:pStyle w:val="BodyText"/>
        <w:spacing w:before="24" w:line="276" w:lineRule="auto"/>
        <w:ind w:right="55" w:firstLine="720"/>
      </w:pPr>
      <w:r>
        <w:t>This</w:t>
      </w:r>
      <w:r>
        <w:rPr>
          <w:spacing w:val="-10"/>
        </w:rPr>
        <w:t xml:space="preserve"> </w:t>
      </w:r>
      <w:r>
        <w:t>study</w:t>
      </w:r>
      <w:r>
        <w:rPr>
          <w:spacing w:val="-12"/>
        </w:rPr>
        <w:t xml:space="preserve"> </w:t>
      </w:r>
      <w:r>
        <w:t>analyzed</w:t>
      </w:r>
      <w:r>
        <w:rPr>
          <w:spacing w:val="-9"/>
        </w:rPr>
        <w:t xml:space="preserve"> </w:t>
      </w:r>
      <w:r>
        <w:t>the</w:t>
      </w:r>
      <w:r>
        <w:rPr>
          <w:spacing w:val="-10"/>
        </w:rPr>
        <w:t xml:space="preserve"> </w:t>
      </w:r>
      <w:r>
        <w:t>normative</w:t>
      </w:r>
      <w:r>
        <w:rPr>
          <w:spacing w:val="-3"/>
        </w:rPr>
        <w:t xml:space="preserve"> </w:t>
      </w:r>
      <w:r>
        <w:t>basis</w:t>
      </w:r>
      <w:r>
        <w:rPr>
          <w:spacing w:val="-4"/>
        </w:rPr>
        <w:t xml:space="preserve"> </w:t>
      </w:r>
      <w:r>
        <w:t>and</w:t>
      </w:r>
      <w:r>
        <w:rPr>
          <w:spacing w:val="-10"/>
        </w:rPr>
        <w:t xml:space="preserve"> </w:t>
      </w:r>
      <w:r>
        <w:t>practical</w:t>
      </w:r>
      <w:r>
        <w:rPr>
          <w:spacing w:val="-9"/>
        </w:rPr>
        <w:t xml:space="preserve"> </w:t>
      </w:r>
      <w:r>
        <w:t>application</w:t>
      </w:r>
      <w:r>
        <w:rPr>
          <w:spacing w:val="18"/>
        </w:rPr>
        <w:t xml:space="preserve"> </w:t>
      </w:r>
      <w:r>
        <w:t>of</w:t>
      </w:r>
      <w:r>
        <w:rPr>
          <w:spacing w:val="-10"/>
        </w:rPr>
        <w:t xml:space="preserve"> </w:t>
      </w:r>
      <w:r>
        <w:t>legal</w:t>
      </w:r>
      <w:r>
        <w:rPr>
          <w:spacing w:val="-6"/>
        </w:rPr>
        <w:t xml:space="preserve"> </w:t>
      </w:r>
      <w:r>
        <w:t>concepts</w:t>
      </w:r>
      <w:r>
        <w:rPr>
          <w:spacing w:val="-11"/>
        </w:rPr>
        <w:t xml:space="preserve"> </w:t>
      </w:r>
      <w:r>
        <w:t>regulating credit guarantees</w:t>
      </w:r>
      <w:r>
        <w:rPr>
          <w:spacing w:val="-7"/>
        </w:rPr>
        <w:t xml:space="preserve"> </w:t>
      </w:r>
      <w:r>
        <w:t>under</w:t>
      </w:r>
      <w:r>
        <w:rPr>
          <w:spacing w:val="-7"/>
        </w:rPr>
        <w:t xml:space="preserve"> </w:t>
      </w:r>
      <w:r>
        <w:t>Indonesian</w:t>
      </w:r>
      <w:r>
        <w:rPr>
          <w:spacing w:val="-7"/>
        </w:rPr>
        <w:t xml:space="preserve"> </w:t>
      </w:r>
      <w:r>
        <w:t>banking</w:t>
      </w:r>
      <w:r>
        <w:rPr>
          <w:spacing w:val="-4"/>
        </w:rPr>
        <w:t xml:space="preserve"> </w:t>
      </w:r>
      <w:r>
        <w:t>law.</w:t>
      </w:r>
      <w:r>
        <w:rPr>
          <w:spacing w:val="-5"/>
        </w:rPr>
        <w:t xml:space="preserve"> </w:t>
      </w:r>
      <w:r>
        <w:t>An</w:t>
      </w:r>
      <w:r>
        <w:rPr>
          <w:spacing w:val="-8"/>
        </w:rPr>
        <w:t xml:space="preserve"> </w:t>
      </w:r>
      <w:r>
        <w:t>examination</w:t>
      </w:r>
      <w:r>
        <w:rPr>
          <w:spacing w:val="18"/>
        </w:rPr>
        <w:t xml:space="preserve"> </w:t>
      </w:r>
      <w:r>
        <w:t>of</w:t>
      </w:r>
      <w:r>
        <w:rPr>
          <w:spacing w:val="-7"/>
        </w:rPr>
        <w:t xml:space="preserve"> </w:t>
      </w:r>
      <w:r>
        <w:t>legislative</w:t>
      </w:r>
      <w:r>
        <w:rPr>
          <w:spacing w:val="29"/>
        </w:rPr>
        <w:t xml:space="preserve"> </w:t>
      </w:r>
      <w:r>
        <w:t>rules,</w:t>
      </w:r>
      <w:r>
        <w:rPr>
          <w:spacing w:val="-3"/>
        </w:rPr>
        <w:t xml:space="preserve"> </w:t>
      </w:r>
      <w:r>
        <w:t>civil</w:t>
      </w:r>
      <w:r>
        <w:rPr>
          <w:spacing w:val="-1"/>
        </w:rPr>
        <w:t xml:space="preserve"> </w:t>
      </w:r>
      <w:r>
        <w:t>code</w:t>
      </w:r>
      <w:r>
        <w:rPr>
          <w:spacing w:val="-7"/>
        </w:rPr>
        <w:t xml:space="preserve"> </w:t>
      </w:r>
      <w:r>
        <w:t>requirements,</w:t>
      </w:r>
      <w:r>
        <w:rPr>
          <w:spacing w:val="-7"/>
        </w:rPr>
        <w:t xml:space="preserve"> </w:t>
      </w:r>
      <w:r>
        <w:t>and standard banking instruments uncovers a complex legal framework that regulates the inte</w:t>
      </w:r>
      <w:r>
        <w:t>raction between debtors and creditors, especially with the utilization and enforcement of collateral. The findings are organized thematically, according to the categorization of guarantee categories, their legal origins, and implementation</w:t>
      </w:r>
      <w:r>
        <w:rPr>
          <w:spacing w:val="40"/>
        </w:rPr>
        <w:t xml:space="preserve"> </w:t>
      </w:r>
      <w:r>
        <w:t>procedures.</w:t>
      </w:r>
    </w:p>
    <w:p w:rsidR="00143FDB" w:rsidRDefault="006A44E3">
      <w:pPr>
        <w:pStyle w:val="BodyText"/>
        <w:spacing w:before="12" w:line="273" w:lineRule="auto"/>
        <w:ind w:right="73" w:firstLine="720"/>
      </w:pPr>
      <w:r>
        <w:t xml:space="preserve">The </w:t>
      </w:r>
      <w:r>
        <w:t>initial segment of the research examines the conceptual comprehension and operational significance of credit guarantees under Indonesian legal doctrine. This is succeeded by a classification of guarantees,</w:t>
      </w:r>
      <w:r>
        <w:rPr>
          <w:spacing w:val="-11"/>
        </w:rPr>
        <w:t xml:space="preserve"> </w:t>
      </w:r>
      <w:r>
        <w:t>differentiating</w:t>
      </w:r>
      <w:r>
        <w:rPr>
          <w:spacing w:val="-13"/>
        </w:rPr>
        <w:t xml:space="preserve"> </w:t>
      </w:r>
      <w:r>
        <w:t>between</w:t>
      </w:r>
      <w:r>
        <w:rPr>
          <w:spacing w:val="-14"/>
        </w:rPr>
        <w:t xml:space="preserve"> </w:t>
      </w:r>
      <w:r>
        <w:t>those</w:t>
      </w:r>
      <w:r>
        <w:rPr>
          <w:spacing w:val="-11"/>
        </w:rPr>
        <w:t xml:space="preserve"> </w:t>
      </w:r>
      <w:r>
        <w:t>established</w:t>
      </w:r>
      <w:r>
        <w:rPr>
          <w:spacing w:val="-11"/>
        </w:rPr>
        <w:t xml:space="preserve"> </w:t>
      </w:r>
      <w:r>
        <w:t>by</w:t>
      </w:r>
      <w:r>
        <w:rPr>
          <w:spacing w:val="-14"/>
        </w:rPr>
        <w:t xml:space="preserve"> </w:t>
      </w:r>
      <w:r>
        <w:t>legal</w:t>
      </w:r>
      <w:r>
        <w:rPr>
          <w:spacing w:val="-5"/>
        </w:rPr>
        <w:t xml:space="preserve"> </w:t>
      </w:r>
      <w:r>
        <w:t>statutes</w:t>
      </w:r>
      <w:r>
        <w:rPr>
          <w:spacing w:val="-10"/>
        </w:rPr>
        <w:t xml:space="preserve"> </w:t>
      </w:r>
      <w:r>
        <w:t>and</w:t>
      </w:r>
      <w:r>
        <w:rPr>
          <w:spacing w:val="-12"/>
        </w:rPr>
        <w:t xml:space="preserve"> </w:t>
      </w:r>
      <w:r>
        <w:t>those</w:t>
      </w:r>
      <w:r>
        <w:rPr>
          <w:spacing w:val="-10"/>
        </w:rPr>
        <w:t xml:space="preserve"> </w:t>
      </w:r>
      <w:r>
        <w:t>formed</w:t>
      </w:r>
      <w:r>
        <w:rPr>
          <w:spacing w:val="-6"/>
        </w:rPr>
        <w:t xml:space="preserve"> </w:t>
      </w:r>
      <w:r>
        <w:t>by</w:t>
      </w:r>
      <w:r>
        <w:rPr>
          <w:spacing w:val="-9"/>
        </w:rPr>
        <w:t xml:space="preserve"> </w:t>
      </w:r>
      <w:r>
        <w:t>private</w:t>
      </w:r>
      <w:r>
        <w:rPr>
          <w:spacing w:val="-2"/>
        </w:rPr>
        <w:t xml:space="preserve"> </w:t>
      </w:r>
      <w:r>
        <w:t>contracts. The third section examines the legal tools and methods that delineate material guarantees, encompassing mortgage</w:t>
      </w:r>
      <w:r>
        <w:rPr>
          <w:spacing w:val="38"/>
        </w:rPr>
        <w:t xml:space="preserve"> </w:t>
      </w:r>
      <w:r>
        <w:t>rights,</w:t>
      </w:r>
      <w:r>
        <w:rPr>
          <w:spacing w:val="40"/>
        </w:rPr>
        <w:t xml:space="preserve"> </w:t>
      </w:r>
      <w:r>
        <w:t>fiduciary</w:t>
      </w:r>
      <w:r>
        <w:rPr>
          <w:spacing w:val="40"/>
        </w:rPr>
        <w:t xml:space="preserve"> </w:t>
      </w:r>
      <w:r>
        <w:t>transfers,</w:t>
      </w:r>
      <w:r>
        <w:rPr>
          <w:spacing w:val="-8"/>
        </w:rPr>
        <w:t xml:space="preserve"> </w:t>
      </w:r>
      <w:r>
        <w:t>and</w:t>
      </w:r>
      <w:r>
        <w:rPr>
          <w:spacing w:val="24"/>
        </w:rPr>
        <w:t xml:space="preserve"> </w:t>
      </w:r>
      <w:r>
        <w:t>promises.</w:t>
      </w:r>
      <w:r>
        <w:rPr>
          <w:spacing w:val="40"/>
        </w:rPr>
        <w:t xml:space="preserve"> </w:t>
      </w:r>
      <w:r>
        <w:t>The fourth</w:t>
      </w:r>
      <w:r>
        <w:rPr>
          <w:spacing w:val="40"/>
        </w:rPr>
        <w:t xml:space="preserve"> </w:t>
      </w:r>
      <w:r>
        <w:t>segment analyzes</w:t>
      </w:r>
      <w:r>
        <w:rPr>
          <w:spacing w:val="40"/>
        </w:rPr>
        <w:t xml:space="preserve"> </w:t>
      </w:r>
      <w:r>
        <w:t>personal and</w:t>
      </w:r>
      <w:r>
        <w:rPr>
          <w:spacing w:val="25"/>
        </w:rPr>
        <w:t xml:space="preserve"> </w:t>
      </w:r>
      <w:r>
        <w:t>corporate</w:t>
      </w:r>
    </w:p>
    <w:p w:rsidR="00143FDB" w:rsidRDefault="00143FDB">
      <w:pPr>
        <w:pStyle w:val="BodyText"/>
        <w:spacing w:line="273" w:lineRule="auto"/>
        <w:sectPr w:rsidR="00143FDB">
          <w:pgSz w:w="11920" w:h="16860"/>
          <w:pgMar w:top="1460" w:right="1133" w:bottom="2020" w:left="1133" w:header="282" w:footer="1831" w:gutter="0"/>
          <w:cols w:space="720"/>
        </w:sectPr>
      </w:pPr>
    </w:p>
    <w:p w:rsidR="00143FDB" w:rsidRDefault="006A44E3">
      <w:pPr>
        <w:pStyle w:val="BodyText"/>
        <w:spacing w:before="83" w:line="273" w:lineRule="auto"/>
        <w:ind w:right="78"/>
      </w:pPr>
      <w:r>
        <w:lastRenderedPageBreak/>
        <w:t>guarantees, especially in instances where material security is lacking or inadequate. The topic</w:t>
      </w:r>
      <w:r>
        <w:rPr>
          <w:spacing w:val="40"/>
        </w:rPr>
        <w:t xml:space="preserve"> </w:t>
      </w:r>
      <w:r>
        <w:t>ultimately culminates with an examination of the object-based enforcement system, emphasizing the differentiated handling</w:t>
      </w:r>
      <w:r>
        <w:rPr>
          <w:spacing w:val="-14"/>
        </w:rPr>
        <w:t xml:space="preserve"> </w:t>
      </w:r>
      <w:r>
        <w:t>of</w:t>
      </w:r>
      <w:r>
        <w:rPr>
          <w:spacing w:val="-10"/>
        </w:rPr>
        <w:t xml:space="preserve"> </w:t>
      </w:r>
      <w:r>
        <w:t>mobile</w:t>
      </w:r>
      <w:r>
        <w:rPr>
          <w:spacing w:val="-11"/>
        </w:rPr>
        <w:t xml:space="preserve"> </w:t>
      </w:r>
      <w:r>
        <w:t>and</w:t>
      </w:r>
      <w:r>
        <w:rPr>
          <w:spacing w:val="-14"/>
        </w:rPr>
        <w:t xml:space="preserve"> </w:t>
      </w:r>
      <w:r>
        <w:t>immov</w:t>
      </w:r>
      <w:r>
        <w:t>able</w:t>
      </w:r>
      <w:r>
        <w:rPr>
          <w:spacing w:val="-3"/>
        </w:rPr>
        <w:t xml:space="preserve"> </w:t>
      </w:r>
      <w:r>
        <w:t>collateral</w:t>
      </w:r>
      <w:r>
        <w:rPr>
          <w:spacing w:val="-10"/>
        </w:rPr>
        <w:t xml:space="preserve"> </w:t>
      </w:r>
      <w:r>
        <w:t>in</w:t>
      </w:r>
      <w:r>
        <w:rPr>
          <w:spacing w:val="-9"/>
        </w:rPr>
        <w:t xml:space="preserve"> </w:t>
      </w:r>
      <w:r>
        <w:t>Indonesian</w:t>
      </w:r>
      <w:r>
        <w:rPr>
          <w:spacing w:val="-9"/>
        </w:rPr>
        <w:t xml:space="preserve"> </w:t>
      </w:r>
      <w:r>
        <w:t>civil</w:t>
      </w:r>
      <w:r>
        <w:rPr>
          <w:spacing w:val="-8"/>
        </w:rPr>
        <w:t xml:space="preserve"> </w:t>
      </w:r>
      <w:r>
        <w:t>and</w:t>
      </w:r>
      <w:r>
        <w:rPr>
          <w:spacing w:val="-11"/>
        </w:rPr>
        <w:t xml:space="preserve"> </w:t>
      </w:r>
      <w:r>
        <w:t>banking</w:t>
      </w:r>
      <w:r>
        <w:rPr>
          <w:spacing w:val="-5"/>
        </w:rPr>
        <w:t xml:space="preserve"> </w:t>
      </w:r>
      <w:r>
        <w:t>law.</w:t>
      </w:r>
      <w:r>
        <w:rPr>
          <w:spacing w:val="-14"/>
        </w:rPr>
        <w:t xml:space="preserve"> </w:t>
      </w:r>
      <w:r>
        <w:t>This</w:t>
      </w:r>
      <w:r>
        <w:rPr>
          <w:spacing w:val="-10"/>
        </w:rPr>
        <w:t xml:space="preserve"> </w:t>
      </w:r>
      <w:r>
        <w:t>topic</w:t>
      </w:r>
      <w:r>
        <w:rPr>
          <w:spacing w:val="-4"/>
        </w:rPr>
        <w:t xml:space="preserve"> </w:t>
      </w:r>
      <w:r>
        <w:t>structure</w:t>
      </w:r>
      <w:r>
        <w:rPr>
          <w:spacing w:val="-10"/>
        </w:rPr>
        <w:t xml:space="preserve"> </w:t>
      </w:r>
      <w:r>
        <w:t>offers a logical framework for examining the operationalization</w:t>
      </w:r>
      <w:r>
        <w:rPr>
          <w:spacing w:val="39"/>
        </w:rPr>
        <w:t xml:space="preserve"> </w:t>
      </w:r>
      <w:r>
        <w:t>of legal principles in credit relations, as well as their interaction with contractual</w:t>
      </w:r>
      <w:r>
        <w:rPr>
          <w:spacing w:val="-1"/>
        </w:rPr>
        <w:t xml:space="preserve"> </w:t>
      </w:r>
      <w:r>
        <w:t>freedom, creditor priority,</w:t>
      </w:r>
      <w:r>
        <w:rPr>
          <w:spacing w:val="40"/>
        </w:rPr>
        <w:t xml:space="preserve"> </w:t>
      </w:r>
      <w:r>
        <w:t>and</w:t>
      </w:r>
      <w:r>
        <w:t xml:space="preserve"> the enforcement of commitments.</w:t>
      </w:r>
    </w:p>
    <w:p w:rsidR="00143FDB" w:rsidRDefault="00143FDB">
      <w:pPr>
        <w:pStyle w:val="BodyText"/>
        <w:spacing w:before="58"/>
        <w:ind w:left="0"/>
        <w:jc w:val="left"/>
      </w:pPr>
    </w:p>
    <w:p w:rsidR="00143FDB" w:rsidRDefault="006A44E3">
      <w:pPr>
        <w:pStyle w:val="Heading1"/>
        <w:numPr>
          <w:ilvl w:val="1"/>
          <w:numId w:val="1"/>
        </w:numPr>
        <w:tabs>
          <w:tab w:val="left" w:pos="833"/>
        </w:tabs>
        <w:spacing w:before="0"/>
        <w:jc w:val="both"/>
      </w:pPr>
      <w:r>
        <w:t>Legal</w:t>
      </w:r>
      <w:r>
        <w:rPr>
          <w:spacing w:val="-15"/>
        </w:rPr>
        <w:t xml:space="preserve"> </w:t>
      </w:r>
      <w:r>
        <w:t>Concept</w:t>
      </w:r>
      <w:r>
        <w:rPr>
          <w:spacing w:val="-7"/>
        </w:rPr>
        <w:t xml:space="preserve"> </w:t>
      </w:r>
      <w:r>
        <w:t>and</w:t>
      </w:r>
      <w:r>
        <w:rPr>
          <w:spacing w:val="-6"/>
        </w:rPr>
        <w:t xml:space="preserve"> </w:t>
      </w:r>
      <w:r>
        <w:t>Function</w:t>
      </w:r>
      <w:r>
        <w:rPr>
          <w:spacing w:val="18"/>
        </w:rPr>
        <w:t xml:space="preserve"> </w:t>
      </w:r>
      <w:r>
        <w:t>of</w:t>
      </w:r>
      <w:r>
        <w:rPr>
          <w:spacing w:val="-10"/>
        </w:rPr>
        <w:t xml:space="preserve"> </w:t>
      </w:r>
      <w:r>
        <w:t>Credit</w:t>
      </w:r>
      <w:r>
        <w:rPr>
          <w:spacing w:val="1"/>
        </w:rPr>
        <w:t xml:space="preserve"> </w:t>
      </w:r>
      <w:r>
        <w:rPr>
          <w:spacing w:val="-2"/>
        </w:rPr>
        <w:t>Guarantee</w:t>
      </w:r>
    </w:p>
    <w:p w:rsidR="00143FDB" w:rsidRDefault="006A44E3">
      <w:pPr>
        <w:pStyle w:val="BodyText"/>
        <w:spacing w:before="16" w:line="278" w:lineRule="auto"/>
        <w:ind w:right="63" w:firstLine="720"/>
      </w:pPr>
      <w:r>
        <w:t>Credit guarantees constitute fundamental components within the framework of banking law and commercial responsibilities in Indonesia (Bayuaji et al., 2024). A credit guarantee legally serves as an institutional manifestation of a bank's confidence in a deb</w:t>
      </w:r>
      <w:r>
        <w:t>tor's ability to meet financial commitments, as outlined in regulatory documents such as the Bank Indonesia Director Decree No. 23/69/KEP/DIR. This conviction is not capricious; it arises from meticulous financial evaluations and due diligence conducted be</w:t>
      </w:r>
      <w:r>
        <w:t xml:space="preserve">fore credit acceptance, thereby actualizing the principle of prudence in banking procedures (Ginting, </w:t>
      </w:r>
      <w:r>
        <w:rPr>
          <w:spacing w:val="-2"/>
        </w:rPr>
        <w:t>2022).</w:t>
      </w:r>
    </w:p>
    <w:p w:rsidR="00143FDB" w:rsidRDefault="006A44E3">
      <w:pPr>
        <w:pStyle w:val="BodyText"/>
        <w:spacing w:line="276" w:lineRule="auto"/>
        <w:ind w:right="57" w:firstLine="720"/>
      </w:pPr>
      <w:r>
        <w:t>Within the civil law tradition, this guarantee transcends mere contractual formality, embodying a comprehensive legal concept rooted in the princip</w:t>
      </w:r>
      <w:r>
        <w:t>les</w:t>
      </w:r>
      <w:r>
        <w:rPr>
          <w:spacing w:val="39"/>
        </w:rPr>
        <w:t xml:space="preserve"> </w:t>
      </w:r>
      <w:r>
        <w:t>of legal certainty and enforceability (Badriyah et al., 2021).</w:t>
      </w:r>
      <w:r>
        <w:rPr>
          <w:spacing w:val="-14"/>
        </w:rPr>
        <w:t xml:space="preserve"> </w:t>
      </w:r>
      <w:r>
        <w:t>Article</w:t>
      </w:r>
      <w:r>
        <w:rPr>
          <w:spacing w:val="-12"/>
        </w:rPr>
        <w:t xml:space="preserve"> </w:t>
      </w:r>
      <w:r>
        <w:t>1131</w:t>
      </w:r>
      <w:r>
        <w:rPr>
          <w:spacing w:val="-13"/>
        </w:rPr>
        <w:t xml:space="preserve"> </w:t>
      </w:r>
      <w:r>
        <w:t>of</w:t>
      </w:r>
      <w:r>
        <w:rPr>
          <w:spacing w:val="-12"/>
        </w:rPr>
        <w:t xml:space="preserve"> </w:t>
      </w:r>
      <w:r>
        <w:t>the</w:t>
      </w:r>
      <w:r>
        <w:rPr>
          <w:spacing w:val="-12"/>
        </w:rPr>
        <w:t xml:space="preserve"> </w:t>
      </w:r>
      <w:r>
        <w:t>Civil</w:t>
      </w:r>
      <w:r>
        <w:rPr>
          <w:spacing w:val="-7"/>
        </w:rPr>
        <w:t xml:space="preserve"> </w:t>
      </w:r>
      <w:r>
        <w:t>Code</w:t>
      </w:r>
      <w:r>
        <w:rPr>
          <w:spacing w:val="-12"/>
        </w:rPr>
        <w:t xml:space="preserve"> </w:t>
      </w:r>
      <w:r>
        <w:t>stipulates</w:t>
      </w:r>
      <w:r>
        <w:rPr>
          <w:spacing w:val="-3"/>
        </w:rPr>
        <w:t xml:space="preserve"> </w:t>
      </w:r>
      <w:r>
        <w:t>that</w:t>
      </w:r>
      <w:r>
        <w:rPr>
          <w:spacing w:val="-12"/>
        </w:rPr>
        <w:t xml:space="preserve"> </w:t>
      </w:r>
      <w:r>
        <w:t>a</w:t>
      </w:r>
      <w:r>
        <w:rPr>
          <w:spacing w:val="-12"/>
        </w:rPr>
        <w:t xml:space="preserve"> </w:t>
      </w:r>
      <w:r>
        <w:t>debtor's</w:t>
      </w:r>
      <w:r>
        <w:rPr>
          <w:spacing w:val="-12"/>
        </w:rPr>
        <w:t xml:space="preserve"> </w:t>
      </w:r>
      <w:r>
        <w:t>current</w:t>
      </w:r>
      <w:r>
        <w:rPr>
          <w:spacing w:val="-14"/>
        </w:rPr>
        <w:t xml:space="preserve"> </w:t>
      </w:r>
      <w:r>
        <w:t>and</w:t>
      </w:r>
      <w:r>
        <w:rPr>
          <w:spacing w:val="-11"/>
        </w:rPr>
        <w:t xml:space="preserve"> </w:t>
      </w:r>
      <w:r>
        <w:t>prospective</w:t>
      </w:r>
      <w:r>
        <w:rPr>
          <w:spacing w:val="-3"/>
        </w:rPr>
        <w:t xml:space="preserve"> </w:t>
      </w:r>
      <w:r>
        <w:t>assets</w:t>
      </w:r>
      <w:r>
        <w:rPr>
          <w:spacing w:val="-13"/>
        </w:rPr>
        <w:t xml:space="preserve"> </w:t>
      </w:r>
      <w:r>
        <w:t>serve</w:t>
      </w:r>
      <w:r>
        <w:rPr>
          <w:spacing w:val="-12"/>
        </w:rPr>
        <w:t xml:space="preserve"> </w:t>
      </w:r>
      <w:r>
        <w:t>as</w:t>
      </w:r>
      <w:r>
        <w:rPr>
          <w:spacing w:val="-12"/>
        </w:rPr>
        <w:t xml:space="preserve"> </w:t>
      </w:r>
      <w:r>
        <w:t>general collateral for all obligations, highlighting the intrinsic legal responsibilities a</w:t>
      </w:r>
      <w:r>
        <w:t>ssociated with credit transactions (Indonesian Civil Law, 1847). This legal provision underscores that a bank's trust in the borrower must be supported by legal protections</w:t>
      </w:r>
      <w:r>
        <w:rPr>
          <w:spacing w:val="40"/>
        </w:rPr>
        <w:t xml:space="preserve"> </w:t>
      </w:r>
      <w:r>
        <w:t>to guarantee accountability</w:t>
      </w:r>
      <w:r>
        <w:rPr>
          <w:spacing w:val="40"/>
        </w:rPr>
        <w:t xml:space="preserve"> </w:t>
      </w:r>
      <w:r>
        <w:t>in case of default.</w:t>
      </w:r>
    </w:p>
    <w:p w:rsidR="00143FDB" w:rsidRDefault="006A44E3">
      <w:pPr>
        <w:pStyle w:val="BodyText"/>
        <w:spacing w:line="276" w:lineRule="auto"/>
        <w:ind w:right="70" w:firstLine="720"/>
      </w:pPr>
      <w:r>
        <w:t>The</w:t>
      </w:r>
      <w:r>
        <w:rPr>
          <w:spacing w:val="-11"/>
        </w:rPr>
        <w:t xml:space="preserve"> </w:t>
      </w:r>
      <w:r>
        <w:t>role</w:t>
      </w:r>
      <w:r>
        <w:rPr>
          <w:spacing w:val="-4"/>
        </w:rPr>
        <w:t xml:space="preserve"> </w:t>
      </w:r>
      <w:r>
        <w:t>of</w:t>
      </w:r>
      <w:r>
        <w:rPr>
          <w:spacing w:val="-4"/>
        </w:rPr>
        <w:t xml:space="preserve"> </w:t>
      </w:r>
      <w:r>
        <w:t>the</w:t>
      </w:r>
      <w:r>
        <w:rPr>
          <w:spacing w:val="-2"/>
        </w:rPr>
        <w:t xml:space="preserve"> </w:t>
      </w:r>
      <w:r>
        <w:t>guarantee</w:t>
      </w:r>
      <w:r>
        <w:rPr>
          <w:spacing w:val="-8"/>
        </w:rPr>
        <w:t xml:space="preserve"> </w:t>
      </w:r>
      <w:r>
        <w:t>is</w:t>
      </w:r>
      <w:r>
        <w:rPr>
          <w:spacing w:val="-11"/>
        </w:rPr>
        <w:t xml:space="preserve"> </w:t>
      </w:r>
      <w:r>
        <w:t>crucial</w:t>
      </w:r>
      <w:r>
        <w:rPr>
          <w:spacing w:val="-3"/>
        </w:rPr>
        <w:t xml:space="preserve"> </w:t>
      </w:r>
      <w:r>
        <w:t>in</w:t>
      </w:r>
      <w:r>
        <w:rPr>
          <w:spacing w:val="-9"/>
        </w:rPr>
        <w:t xml:space="preserve"> </w:t>
      </w:r>
      <w:r>
        <w:t>defining</w:t>
      </w:r>
      <w:r>
        <w:rPr>
          <w:spacing w:val="26"/>
        </w:rPr>
        <w:t xml:space="preserve"> </w:t>
      </w:r>
      <w:r>
        <w:t>the</w:t>
      </w:r>
      <w:r>
        <w:rPr>
          <w:spacing w:val="-9"/>
        </w:rPr>
        <w:t xml:space="preserve"> </w:t>
      </w:r>
      <w:r>
        <w:t>creditor's</w:t>
      </w:r>
      <w:r>
        <w:rPr>
          <w:spacing w:val="-9"/>
        </w:rPr>
        <w:t xml:space="preserve"> </w:t>
      </w:r>
      <w:r>
        <w:t>capacity</w:t>
      </w:r>
      <w:r>
        <w:rPr>
          <w:spacing w:val="-8"/>
        </w:rPr>
        <w:t xml:space="preserve"> </w:t>
      </w:r>
      <w:r>
        <w:t>to</w:t>
      </w:r>
      <w:r>
        <w:rPr>
          <w:spacing w:val="-9"/>
        </w:rPr>
        <w:t xml:space="preserve"> </w:t>
      </w:r>
      <w:r>
        <w:t>enforce</w:t>
      </w:r>
      <w:r>
        <w:rPr>
          <w:spacing w:val="-9"/>
        </w:rPr>
        <w:t xml:space="preserve"> </w:t>
      </w:r>
      <w:r>
        <w:t>repayment</w:t>
      </w:r>
      <w:r>
        <w:rPr>
          <w:spacing w:val="-8"/>
        </w:rPr>
        <w:t xml:space="preserve"> </w:t>
      </w:r>
      <w:r>
        <w:t>via</w:t>
      </w:r>
      <w:r>
        <w:rPr>
          <w:spacing w:val="-7"/>
        </w:rPr>
        <w:t xml:space="preserve"> </w:t>
      </w:r>
      <w:r>
        <w:t>asset liquidation</w:t>
      </w:r>
      <w:r>
        <w:rPr>
          <w:spacing w:val="-6"/>
        </w:rPr>
        <w:t xml:space="preserve"> </w:t>
      </w:r>
      <w:r>
        <w:t>(Degryse</w:t>
      </w:r>
      <w:r>
        <w:rPr>
          <w:spacing w:val="-11"/>
        </w:rPr>
        <w:t xml:space="preserve"> </w:t>
      </w:r>
      <w:r>
        <w:t>et</w:t>
      </w:r>
      <w:r>
        <w:rPr>
          <w:spacing w:val="-11"/>
        </w:rPr>
        <w:t xml:space="preserve"> </w:t>
      </w:r>
      <w:r>
        <w:t>al.,</w:t>
      </w:r>
      <w:r>
        <w:rPr>
          <w:spacing w:val="-14"/>
        </w:rPr>
        <w:t xml:space="preserve"> </w:t>
      </w:r>
      <w:r>
        <w:t>2020).</w:t>
      </w:r>
      <w:r>
        <w:rPr>
          <w:spacing w:val="-7"/>
        </w:rPr>
        <w:t xml:space="preserve"> </w:t>
      </w:r>
      <w:r>
        <w:t>In</w:t>
      </w:r>
      <w:r>
        <w:rPr>
          <w:spacing w:val="-12"/>
        </w:rPr>
        <w:t xml:space="preserve"> </w:t>
      </w:r>
      <w:r>
        <w:t>this context,</w:t>
      </w:r>
      <w:r>
        <w:rPr>
          <w:spacing w:val="-11"/>
        </w:rPr>
        <w:t xml:space="preserve"> </w:t>
      </w:r>
      <w:r>
        <w:t>credit</w:t>
      </w:r>
      <w:r>
        <w:rPr>
          <w:spacing w:val="-6"/>
        </w:rPr>
        <w:t xml:space="preserve"> </w:t>
      </w:r>
      <w:r>
        <w:t>guarantees</w:t>
      </w:r>
      <w:r>
        <w:rPr>
          <w:spacing w:val="-11"/>
        </w:rPr>
        <w:t xml:space="preserve"> </w:t>
      </w:r>
      <w:r>
        <w:t>provide</w:t>
      </w:r>
      <w:r>
        <w:rPr>
          <w:spacing w:val="-3"/>
        </w:rPr>
        <w:t xml:space="preserve"> </w:t>
      </w:r>
      <w:r>
        <w:t>creditors</w:t>
      </w:r>
      <w:r>
        <w:rPr>
          <w:spacing w:val="-11"/>
        </w:rPr>
        <w:t xml:space="preserve"> </w:t>
      </w:r>
      <w:r>
        <w:t>a</w:t>
      </w:r>
      <w:r>
        <w:rPr>
          <w:spacing w:val="-11"/>
        </w:rPr>
        <w:t xml:space="preserve"> </w:t>
      </w:r>
      <w:r>
        <w:t>primary</w:t>
      </w:r>
      <w:r>
        <w:rPr>
          <w:spacing w:val="-5"/>
        </w:rPr>
        <w:t xml:space="preserve"> </w:t>
      </w:r>
      <w:r>
        <w:t>level</w:t>
      </w:r>
      <w:r>
        <w:rPr>
          <w:spacing w:val="-10"/>
        </w:rPr>
        <w:t xml:space="preserve"> </w:t>
      </w:r>
      <w:r>
        <w:t>of</w:t>
      </w:r>
      <w:r>
        <w:rPr>
          <w:spacing w:val="-6"/>
        </w:rPr>
        <w:t xml:space="preserve"> </w:t>
      </w:r>
      <w:r>
        <w:t xml:space="preserve">legal standing, particularly when the credit is underpinned by specific collateral, so elevating their status from concurrent to preferential creditors (Meher et al., 2021). The enforcement mechanism associated with this duty, including auctions, seizure, </w:t>
      </w:r>
      <w:r>
        <w:t>or fiduciary execution, serves as a legal safeguard to reconcile debtor autonomy with creditor protection.</w:t>
      </w:r>
    </w:p>
    <w:p w:rsidR="00143FDB" w:rsidRDefault="006A44E3">
      <w:pPr>
        <w:pStyle w:val="BodyText"/>
        <w:spacing w:line="276" w:lineRule="auto"/>
        <w:ind w:right="67" w:firstLine="720"/>
      </w:pPr>
      <w:r>
        <w:t>Moreover, the credit guarantee functions on two tiers: as a preventive measure to reduce non- performance and as a remedial mechanism in cases of</w:t>
      </w:r>
      <w:r>
        <w:rPr>
          <w:spacing w:val="-2"/>
        </w:rPr>
        <w:t xml:space="preserve"> </w:t>
      </w:r>
      <w:r>
        <w:t>def</w:t>
      </w:r>
      <w:r>
        <w:t>ault</w:t>
      </w:r>
      <w:r>
        <w:rPr>
          <w:spacing w:val="21"/>
        </w:rPr>
        <w:t xml:space="preserve"> </w:t>
      </w:r>
      <w:r>
        <w:t>(Heriawanto, 2019). It provides</w:t>
      </w:r>
      <w:r>
        <w:rPr>
          <w:spacing w:val="28"/>
        </w:rPr>
        <w:t xml:space="preserve"> </w:t>
      </w:r>
      <w:r>
        <w:t>reassurance to</w:t>
      </w:r>
      <w:r>
        <w:rPr>
          <w:spacing w:val="-8"/>
        </w:rPr>
        <w:t xml:space="preserve"> </w:t>
      </w:r>
      <w:r>
        <w:t>financial</w:t>
      </w:r>
      <w:r>
        <w:rPr>
          <w:spacing w:val="-7"/>
        </w:rPr>
        <w:t xml:space="preserve"> </w:t>
      </w:r>
      <w:r>
        <w:t>institutions</w:t>
      </w:r>
      <w:r>
        <w:rPr>
          <w:spacing w:val="30"/>
        </w:rPr>
        <w:t xml:space="preserve"> </w:t>
      </w:r>
      <w:r>
        <w:t>and</w:t>
      </w:r>
      <w:r>
        <w:rPr>
          <w:spacing w:val="-11"/>
        </w:rPr>
        <w:t xml:space="preserve"> </w:t>
      </w:r>
      <w:r>
        <w:t>underwrites</w:t>
      </w:r>
      <w:r>
        <w:rPr>
          <w:spacing w:val="-7"/>
        </w:rPr>
        <w:t xml:space="preserve"> </w:t>
      </w:r>
      <w:r>
        <w:t>the</w:t>
      </w:r>
      <w:r>
        <w:rPr>
          <w:spacing w:val="-5"/>
        </w:rPr>
        <w:t xml:space="preserve"> </w:t>
      </w:r>
      <w:r>
        <w:t>stability of</w:t>
      </w:r>
      <w:r>
        <w:rPr>
          <w:spacing w:val="-7"/>
        </w:rPr>
        <w:t xml:space="preserve"> </w:t>
      </w:r>
      <w:r>
        <w:t>loan</w:t>
      </w:r>
      <w:r>
        <w:rPr>
          <w:spacing w:val="-5"/>
        </w:rPr>
        <w:t xml:space="preserve"> </w:t>
      </w:r>
      <w:r>
        <w:t>transactions,</w:t>
      </w:r>
      <w:r>
        <w:rPr>
          <w:spacing w:val="-7"/>
        </w:rPr>
        <w:t xml:space="preserve"> </w:t>
      </w:r>
      <w:r>
        <w:t>while</w:t>
      </w:r>
      <w:r>
        <w:rPr>
          <w:spacing w:val="-1"/>
        </w:rPr>
        <w:t xml:space="preserve"> </w:t>
      </w:r>
      <w:r>
        <w:t>also</w:t>
      </w:r>
      <w:r>
        <w:rPr>
          <w:spacing w:val="-4"/>
        </w:rPr>
        <w:t xml:space="preserve"> </w:t>
      </w:r>
      <w:r>
        <w:t>facilitating prompt</w:t>
      </w:r>
      <w:r>
        <w:rPr>
          <w:spacing w:val="-6"/>
        </w:rPr>
        <w:t xml:space="preserve"> </w:t>
      </w:r>
      <w:r>
        <w:t>and lawful asset recovery, thereby assuring little</w:t>
      </w:r>
      <w:r>
        <w:rPr>
          <w:spacing w:val="38"/>
        </w:rPr>
        <w:t xml:space="preserve"> </w:t>
      </w:r>
      <w:r>
        <w:t>disruption to banking operations (Bodellini,</w:t>
      </w:r>
      <w:r>
        <w:rPr>
          <w:spacing w:val="38"/>
        </w:rPr>
        <w:t xml:space="preserve"> </w:t>
      </w:r>
      <w:r>
        <w:t>20</w:t>
      </w:r>
      <w:r>
        <w:t>21). The twin responsibilities enhance the legal and economic significance of credit guarantees in sustaining systemic confidence between financial institutions</w:t>
      </w:r>
      <w:r>
        <w:rPr>
          <w:spacing w:val="40"/>
        </w:rPr>
        <w:t xml:space="preserve"> </w:t>
      </w:r>
      <w:r>
        <w:t>and private</w:t>
      </w:r>
      <w:r>
        <w:rPr>
          <w:spacing w:val="40"/>
        </w:rPr>
        <w:t xml:space="preserve"> </w:t>
      </w:r>
      <w:r>
        <w:t>borrowers.</w:t>
      </w:r>
    </w:p>
    <w:p w:rsidR="00143FDB" w:rsidRDefault="006A44E3">
      <w:pPr>
        <w:pStyle w:val="BodyText"/>
        <w:spacing w:line="278" w:lineRule="auto"/>
        <w:ind w:right="65" w:firstLine="720"/>
      </w:pPr>
      <w:r>
        <w:t>The guarantee framework represents a convergence of public regulatory principles and private contractual sovereignty from a regulatory perspective. The state establishes the legal framework through statutes</w:t>
      </w:r>
      <w:r>
        <w:rPr>
          <w:spacing w:val="-8"/>
        </w:rPr>
        <w:t xml:space="preserve"> </w:t>
      </w:r>
      <w:r>
        <w:t>and</w:t>
      </w:r>
      <w:r>
        <w:rPr>
          <w:spacing w:val="-10"/>
        </w:rPr>
        <w:t xml:space="preserve"> </w:t>
      </w:r>
      <w:r>
        <w:t>decrees,</w:t>
      </w:r>
      <w:r>
        <w:rPr>
          <w:spacing w:val="-9"/>
        </w:rPr>
        <w:t xml:space="preserve"> </w:t>
      </w:r>
      <w:r>
        <w:t>while</w:t>
      </w:r>
      <w:r>
        <w:rPr>
          <w:spacing w:val="-8"/>
        </w:rPr>
        <w:t xml:space="preserve"> </w:t>
      </w:r>
      <w:r>
        <w:t>the</w:t>
      </w:r>
      <w:r>
        <w:rPr>
          <w:spacing w:val="-2"/>
        </w:rPr>
        <w:t xml:space="preserve"> </w:t>
      </w:r>
      <w:r>
        <w:t>actual</w:t>
      </w:r>
      <w:r>
        <w:rPr>
          <w:spacing w:val="-8"/>
        </w:rPr>
        <w:t xml:space="preserve"> </w:t>
      </w:r>
      <w:r>
        <w:t>execution</w:t>
      </w:r>
      <w:r>
        <w:rPr>
          <w:spacing w:val="-6"/>
        </w:rPr>
        <w:t xml:space="preserve"> </w:t>
      </w:r>
      <w:r>
        <w:t>is</w:t>
      </w:r>
      <w:r>
        <w:rPr>
          <w:spacing w:val="-2"/>
        </w:rPr>
        <w:t xml:space="preserve"> </w:t>
      </w:r>
      <w:r>
        <w:t>influe</w:t>
      </w:r>
      <w:r>
        <w:t>nced</w:t>
      </w:r>
      <w:r>
        <w:rPr>
          <w:spacing w:val="-6"/>
        </w:rPr>
        <w:t xml:space="preserve"> </w:t>
      </w:r>
      <w:r>
        <w:t>by</w:t>
      </w:r>
      <w:r>
        <w:rPr>
          <w:spacing w:val="-7"/>
        </w:rPr>
        <w:t xml:space="preserve"> </w:t>
      </w:r>
      <w:r>
        <w:t>discussions between</w:t>
      </w:r>
      <w:r>
        <w:rPr>
          <w:spacing w:val="-9"/>
        </w:rPr>
        <w:t xml:space="preserve"> </w:t>
      </w:r>
      <w:r>
        <w:t>banks</w:t>
      </w:r>
      <w:r>
        <w:rPr>
          <w:spacing w:val="-2"/>
        </w:rPr>
        <w:t xml:space="preserve"> </w:t>
      </w:r>
      <w:r>
        <w:t>and</w:t>
      </w:r>
      <w:r>
        <w:rPr>
          <w:spacing w:val="-7"/>
        </w:rPr>
        <w:t xml:space="preserve"> </w:t>
      </w:r>
      <w:r>
        <w:t>clients,</w:t>
      </w:r>
      <w:r>
        <w:rPr>
          <w:spacing w:val="-8"/>
        </w:rPr>
        <w:t xml:space="preserve"> </w:t>
      </w:r>
      <w:r>
        <w:t>thus including the notion of legal pluralism in banking governance. Thus, credit guarantees function as mechanisms for risk distribution,</w:t>
      </w:r>
      <w:r>
        <w:rPr>
          <w:spacing w:val="40"/>
        </w:rPr>
        <w:t xml:space="preserve"> </w:t>
      </w:r>
      <w:r>
        <w:t>legal responsibility,</w:t>
      </w:r>
      <w:r>
        <w:rPr>
          <w:spacing w:val="40"/>
        </w:rPr>
        <w:t xml:space="preserve"> </w:t>
      </w:r>
      <w:r>
        <w:t>and</w:t>
      </w:r>
      <w:r>
        <w:rPr>
          <w:spacing w:val="-1"/>
        </w:rPr>
        <w:t xml:space="preserve"> </w:t>
      </w:r>
      <w:r>
        <w:t>public</w:t>
      </w:r>
      <w:r>
        <w:rPr>
          <w:spacing w:val="40"/>
        </w:rPr>
        <w:t xml:space="preserve"> </w:t>
      </w:r>
      <w:r>
        <w:t>trust in the credit system.</w:t>
      </w:r>
    </w:p>
    <w:p w:rsidR="00143FDB" w:rsidRDefault="00143FDB">
      <w:pPr>
        <w:pStyle w:val="BodyText"/>
        <w:spacing w:before="36"/>
        <w:ind w:left="0"/>
        <w:jc w:val="left"/>
      </w:pPr>
    </w:p>
    <w:p w:rsidR="00143FDB" w:rsidRDefault="006A44E3">
      <w:pPr>
        <w:pStyle w:val="Heading3"/>
        <w:numPr>
          <w:ilvl w:val="1"/>
          <w:numId w:val="1"/>
        </w:numPr>
        <w:tabs>
          <w:tab w:val="left" w:pos="456"/>
        </w:tabs>
        <w:ind w:left="456" w:hanging="343"/>
        <w:jc w:val="both"/>
      </w:pPr>
      <w:r>
        <w:t>Typology</w:t>
      </w:r>
      <w:r>
        <w:rPr>
          <w:spacing w:val="-16"/>
        </w:rPr>
        <w:t xml:space="preserve"> </w:t>
      </w:r>
      <w:r>
        <w:t>of</w:t>
      </w:r>
      <w:r>
        <w:rPr>
          <w:spacing w:val="-16"/>
        </w:rPr>
        <w:t xml:space="preserve"> </w:t>
      </w:r>
      <w:r>
        <w:t>Credit</w:t>
      </w:r>
      <w:r>
        <w:rPr>
          <w:spacing w:val="-4"/>
        </w:rPr>
        <w:t xml:space="preserve"> </w:t>
      </w:r>
      <w:r>
        <w:t>Guarantees:</w:t>
      </w:r>
      <w:r>
        <w:rPr>
          <w:spacing w:val="-2"/>
        </w:rPr>
        <w:t xml:space="preserve"> </w:t>
      </w:r>
      <w:r>
        <w:t>Legal</w:t>
      </w:r>
      <w:r>
        <w:rPr>
          <w:spacing w:val="-6"/>
        </w:rPr>
        <w:t xml:space="preserve"> </w:t>
      </w:r>
      <w:r>
        <w:t>Source</w:t>
      </w:r>
      <w:r>
        <w:rPr>
          <w:spacing w:val="3"/>
        </w:rPr>
        <w:t xml:space="preserve"> </w:t>
      </w:r>
      <w:r>
        <w:t>and</w:t>
      </w:r>
      <w:r>
        <w:rPr>
          <w:spacing w:val="-11"/>
        </w:rPr>
        <w:t xml:space="preserve"> </w:t>
      </w:r>
      <w:r>
        <w:rPr>
          <w:spacing w:val="-2"/>
        </w:rPr>
        <w:t>Classification</w:t>
      </w:r>
    </w:p>
    <w:p w:rsidR="00143FDB" w:rsidRDefault="006A44E3">
      <w:pPr>
        <w:pStyle w:val="BodyText"/>
        <w:spacing w:before="28" w:line="273" w:lineRule="auto"/>
        <w:ind w:right="56" w:firstLine="720"/>
      </w:pPr>
      <w:r>
        <w:t>The typology</w:t>
      </w:r>
      <w:r>
        <w:rPr>
          <w:spacing w:val="36"/>
        </w:rPr>
        <w:t xml:space="preserve"> </w:t>
      </w:r>
      <w:r>
        <w:t>of credit guarantees in Indonesian civil and banking law is rooted in the distinction between</w:t>
      </w:r>
      <w:r>
        <w:rPr>
          <w:spacing w:val="-7"/>
        </w:rPr>
        <w:t xml:space="preserve"> </w:t>
      </w:r>
      <w:r>
        <w:t>guarantees</w:t>
      </w:r>
      <w:r>
        <w:rPr>
          <w:spacing w:val="-8"/>
        </w:rPr>
        <w:t xml:space="preserve"> </w:t>
      </w:r>
      <w:r>
        <w:t>arising</w:t>
      </w:r>
      <w:r>
        <w:rPr>
          <w:spacing w:val="-9"/>
        </w:rPr>
        <w:t xml:space="preserve"> </w:t>
      </w:r>
      <w:r>
        <w:t>from</w:t>
      </w:r>
      <w:r>
        <w:rPr>
          <w:spacing w:val="-8"/>
        </w:rPr>
        <w:t xml:space="preserve"> </w:t>
      </w:r>
      <w:r>
        <w:t>statutory</w:t>
      </w:r>
      <w:r>
        <w:rPr>
          <w:spacing w:val="-6"/>
        </w:rPr>
        <w:t xml:space="preserve"> </w:t>
      </w:r>
      <w:r>
        <w:t>law</w:t>
      </w:r>
      <w:r>
        <w:rPr>
          <w:spacing w:val="-3"/>
        </w:rPr>
        <w:t xml:space="preserve"> </w:t>
      </w:r>
      <w:r>
        <w:t>and</w:t>
      </w:r>
      <w:r>
        <w:rPr>
          <w:spacing w:val="-6"/>
        </w:rPr>
        <w:t xml:space="preserve"> </w:t>
      </w:r>
      <w:r>
        <w:t>those formed</w:t>
      </w:r>
      <w:r>
        <w:rPr>
          <w:spacing w:val="-3"/>
        </w:rPr>
        <w:t xml:space="preserve"> </w:t>
      </w:r>
      <w:r>
        <w:t>through</w:t>
      </w:r>
      <w:r>
        <w:rPr>
          <w:spacing w:val="-4"/>
        </w:rPr>
        <w:t xml:space="preserve"> </w:t>
      </w:r>
      <w:r>
        <w:t>contractual</w:t>
      </w:r>
      <w:r>
        <w:rPr>
          <w:spacing w:val="-7"/>
        </w:rPr>
        <w:t xml:space="preserve"> </w:t>
      </w:r>
      <w:r>
        <w:t>agreement (Muljono</w:t>
      </w:r>
      <w:r>
        <w:rPr>
          <w:spacing w:val="-5"/>
        </w:rPr>
        <w:t xml:space="preserve"> </w:t>
      </w:r>
      <w:r>
        <w:t>e</w:t>
      </w:r>
      <w:r>
        <w:t xml:space="preserve">t al., 2024; Sagala &amp; Tampubolon, 2021). Legal guarantees, commonly referred to as </w:t>
      </w:r>
      <w:r>
        <w:rPr>
          <w:i/>
        </w:rPr>
        <w:t>algemene zekerheidsrechten</w:t>
      </w:r>
      <w:r>
        <w:t>,</w:t>
      </w:r>
      <w:r>
        <w:rPr>
          <w:spacing w:val="-8"/>
        </w:rPr>
        <w:t xml:space="preserve"> </w:t>
      </w:r>
      <w:r>
        <w:t>are</w:t>
      </w:r>
      <w:r>
        <w:rPr>
          <w:spacing w:val="-8"/>
        </w:rPr>
        <w:t xml:space="preserve"> </w:t>
      </w:r>
      <w:r>
        <w:t>mandated</w:t>
      </w:r>
      <w:r>
        <w:rPr>
          <w:spacing w:val="-7"/>
        </w:rPr>
        <w:t xml:space="preserve"> </w:t>
      </w:r>
      <w:r>
        <w:t>by</w:t>
      </w:r>
      <w:r>
        <w:rPr>
          <w:spacing w:val="-8"/>
        </w:rPr>
        <w:t xml:space="preserve"> </w:t>
      </w:r>
      <w:r>
        <w:t>legal</w:t>
      </w:r>
      <w:r>
        <w:rPr>
          <w:spacing w:val="-6"/>
        </w:rPr>
        <w:t xml:space="preserve"> </w:t>
      </w:r>
      <w:r>
        <w:t>provisions,</w:t>
      </w:r>
      <w:r>
        <w:rPr>
          <w:spacing w:val="26"/>
        </w:rPr>
        <w:t xml:space="preserve"> </w:t>
      </w:r>
      <w:r>
        <w:t>specifically</w:t>
      </w:r>
      <w:r>
        <w:rPr>
          <w:spacing w:val="26"/>
        </w:rPr>
        <w:t xml:space="preserve"> </w:t>
      </w:r>
      <w:r>
        <w:t>Articles 1131</w:t>
      </w:r>
      <w:r>
        <w:rPr>
          <w:spacing w:val="-1"/>
        </w:rPr>
        <w:t xml:space="preserve"> </w:t>
      </w:r>
      <w:r>
        <w:t>and</w:t>
      </w:r>
      <w:r>
        <w:rPr>
          <w:spacing w:val="-2"/>
        </w:rPr>
        <w:t xml:space="preserve"> </w:t>
      </w:r>
      <w:r>
        <w:t>1132</w:t>
      </w:r>
      <w:r>
        <w:rPr>
          <w:spacing w:val="-1"/>
        </w:rPr>
        <w:t xml:space="preserve"> </w:t>
      </w:r>
      <w:r>
        <w:t>of</w:t>
      </w:r>
      <w:r>
        <w:rPr>
          <w:spacing w:val="-2"/>
        </w:rPr>
        <w:t xml:space="preserve"> </w:t>
      </w:r>
      <w:r>
        <w:t>the</w:t>
      </w:r>
      <w:r>
        <w:rPr>
          <w:spacing w:val="-1"/>
        </w:rPr>
        <w:t xml:space="preserve"> </w:t>
      </w:r>
      <w:r>
        <w:t>Indonesian Civil</w:t>
      </w:r>
      <w:r>
        <w:rPr>
          <w:spacing w:val="61"/>
        </w:rPr>
        <w:t xml:space="preserve"> </w:t>
      </w:r>
      <w:r>
        <w:t>Code,</w:t>
      </w:r>
      <w:r>
        <w:rPr>
          <w:spacing w:val="20"/>
        </w:rPr>
        <w:t xml:space="preserve"> </w:t>
      </w:r>
      <w:r>
        <w:t>which</w:t>
      </w:r>
      <w:r>
        <w:rPr>
          <w:spacing w:val="26"/>
        </w:rPr>
        <w:t xml:space="preserve"> </w:t>
      </w:r>
      <w:r>
        <w:t>stipulate</w:t>
      </w:r>
      <w:r>
        <w:rPr>
          <w:spacing w:val="69"/>
        </w:rPr>
        <w:t xml:space="preserve"> </w:t>
      </w:r>
      <w:r>
        <w:t>that</w:t>
      </w:r>
      <w:r>
        <w:rPr>
          <w:spacing w:val="16"/>
        </w:rPr>
        <w:t xml:space="preserve"> </w:t>
      </w:r>
      <w:r>
        <w:t>all</w:t>
      </w:r>
      <w:r>
        <w:rPr>
          <w:spacing w:val="32"/>
        </w:rPr>
        <w:t xml:space="preserve"> </w:t>
      </w:r>
      <w:r>
        <w:t>assets of</w:t>
      </w:r>
      <w:r>
        <w:rPr>
          <w:spacing w:val="34"/>
        </w:rPr>
        <w:t xml:space="preserve"> </w:t>
      </w:r>
      <w:r>
        <w:t>a</w:t>
      </w:r>
      <w:r>
        <w:rPr>
          <w:spacing w:val="22"/>
        </w:rPr>
        <w:t xml:space="preserve"> </w:t>
      </w:r>
      <w:r>
        <w:t>debtor,</w:t>
      </w:r>
      <w:r>
        <w:rPr>
          <w:spacing w:val="38"/>
        </w:rPr>
        <w:t xml:space="preserve"> </w:t>
      </w:r>
      <w:r>
        <w:t>both</w:t>
      </w:r>
      <w:r>
        <w:rPr>
          <w:spacing w:val="26"/>
        </w:rPr>
        <w:t xml:space="preserve"> </w:t>
      </w:r>
      <w:r>
        <w:t>present</w:t>
      </w:r>
      <w:r>
        <w:rPr>
          <w:spacing w:val="14"/>
        </w:rPr>
        <w:t xml:space="preserve"> </w:t>
      </w:r>
      <w:r>
        <w:t>and</w:t>
      </w:r>
      <w:r>
        <w:rPr>
          <w:spacing w:val="27"/>
        </w:rPr>
        <w:t xml:space="preserve"> </w:t>
      </w:r>
      <w:r>
        <w:t>future,</w:t>
      </w:r>
      <w:r>
        <w:rPr>
          <w:spacing w:val="18"/>
        </w:rPr>
        <w:t xml:space="preserve"> </w:t>
      </w:r>
      <w:r>
        <w:t>act</w:t>
      </w:r>
      <w:r>
        <w:rPr>
          <w:spacing w:val="16"/>
        </w:rPr>
        <w:t xml:space="preserve"> </w:t>
      </w:r>
      <w:r>
        <w:t>as collateral</w:t>
      </w:r>
      <w:r>
        <w:rPr>
          <w:spacing w:val="32"/>
        </w:rPr>
        <w:t xml:space="preserve"> </w:t>
      </w:r>
      <w:r>
        <w:t>for</w:t>
      </w:r>
      <w:r>
        <w:rPr>
          <w:spacing w:val="34"/>
        </w:rPr>
        <w:t xml:space="preserve"> </w:t>
      </w:r>
      <w:r>
        <w:t>any</w:t>
      </w:r>
    </w:p>
    <w:p w:rsidR="00143FDB" w:rsidRDefault="00143FDB">
      <w:pPr>
        <w:pStyle w:val="BodyText"/>
        <w:spacing w:line="273" w:lineRule="auto"/>
        <w:sectPr w:rsidR="00143FDB">
          <w:pgSz w:w="11920" w:h="16860"/>
          <w:pgMar w:top="1460" w:right="1133" w:bottom="2020" w:left="1133" w:header="282" w:footer="1831" w:gutter="0"/>
          <w:cols w:space="720"/>
        </w:sectPr>
      </w:pPr>
    </w:p>
    <w:p w:rsidR="00143FDB" w:rsidRDefault="006A44E3">
      <w:pPr>
        <w:pStyle w:val="BodyText"/>
        <w:spacing w:before="81" w:line="271" w:lineRule="auto"/>
        <w:ind w:right="68"/>
      </w:pPr>
      <w:r>
        <w:lastRenderedPageBreak/>
        <w:t>outstanding debts (Indonesian Civil Law, 1847). This establishes a universal security obligation for all creditors,</w:t>
      </w:r>
      <w:r>
        <w:rPr>
          <w:spacing w:val="-6"/>
        </w:rPr>
        <w:t xml:space="preserve"> </w:t>
      </w:r>
      <w:r>
        <w:t>guaranteeing</w:t>
      </w:r>
      <w:r>
        <w:rPr>
          <w:spacing w:val="-7"/>
        </w:rPr>
        <w:t xml:space="preserve"> </w:t>
      </w:r>
      <w:r>
        <w:t>that</w:t>
      </w:r>
      <w:r>
        <w:rPr>
          <w:spacing w:val="-2"/>
        </w:rPr>
        <w:t xml:space="preserve"> </w:t>
      </w:r>
      <w:r>
        <w:t>the</w:t>
      </w:r>
      <w:r>
        <w:rPr>
          <w:spacing w:val="-4"/>
        </w:rPr>
        <w:t xml:space="preserve"> </w:t>
      </w:r>
      <w:r>
        <w:t>debtor's assets</w:t>
      </w:r>
      <w:r>
        <w:rPr>
          <w:spacing w:val="-6"/>
        </w:rPr>
        <w:t xml:space="preserve"> </w:t>
      </w:r>
      <w:r>
        <w:t>can</w:t>
      </w:r>
      <w:r>
        <w:rPr>
          <w:spacing w:val="-6"/>
        </w:rPr>
        <w:t xml:space="preserve"> </w:t>
      </w:r>
      <w:r>
        <w:t>be</w:t>
      </w:r>
      <w:r>
        <w:rPr>
          <w:spacing w:val="-7"/>
        </w:rPr>
        <w:t xml:space="preserve"> </w:t>
      </w:r>
      <w:r>
        <w:t>liquidated</w:t>
      </w:r>
      <w:r>
        <w:rPr>
          <w:spacing w:val="29"/>
        </w:rPr>
        <w:t xml:space="preserve"> </w:t>
      </w:r>
      <w:r>
        <w:t>to</w:t>
      </w:r>
      <w:r>
        <w:rPr>
          <w:spacing w:val="-5"/>
        </w:rPr>
        <w:t xml:space="preserve"> </w:t>
      </w:r>
      <w:r>
        <w:t>satisfy</w:t>
      </w:r>
      <w:r>
        <w:rPr>
          <w:spacing w:val="-7"/>
        </w:rPr>
        <w:t xml:space="preserve"> </w:t>
      </w:r>
      <w:r>
        <w:t>outstanding debts,</w:t>
      </w:r>
      <w:r>
        <w:rPr>
          <w:spacing w:val="-6"/>
        </w:rPr>
        <w:t xml:space="preserve"> </w:t>
      </w:r>
      <w:r>
        <w:t>even</w:t>
      </w:r>
      <w:r>
        <w:rPr>
          <w:spacing w:val="-9"/>
        </w:rPr>
        <w:t xml:space="preserve"> </w:t>
      </w:r>
      <w:r>
        <w:t>without</w:t>
      </w:r>
      <w:r>
        <w:rPr>
          <w:spacing w:val="-4"/>
        </w:rPr>
        <w:t xml:space="preserve"> </w:t>
      </w:r>
      <w:r>
        <w:t>a special contractual provision.</w:t>
      </w:r>
    </w:p>
    <w:p w:rsidR="00143FDB" w:rsidRDefault="006A44E3">
      <w:pPr>
        <w:pStyle w:val="BodyText"/>
        <w:spacing w:before="14" w:line="276" w:lineRule="auto"/>
        <w:ind w:right="63" w:firstLine="720"/>
      </w:pPr>
      <w:r>
        <w:t>In contrast, guarantees by agreement (bijzondere zekerheidsrechten) stem from the notion of contractual freedom and embody the intention of the parties to designate specific objects as collat</w:t>
      </w:r>
      <w:r>
        <w:t>eral (Nasution et al., 2025). These guarantees are typically organized into formal agreements, such mortgage contracts</w:t>
      </w:r>
      <w:r>
        <w:rPr>
          <w:spacing w:val="-13"/>
        </w:rPr>
        <w:t xml:space="preserve"> </w:t>
      </w:r>
      <w:r>
        <w:t>(</w:t>
      </w:r>
      <w:r>
        <w:rPr>
          <w:i/>
        </w:rPr>
        <w:t>hak</w:t>
      </w:r>
      <w:r>
        <w:rPr>
          <w:i/>
          <w:spacing w:val="-14"/>
        </w:rPr>
        <w:t xml:space="preserve"> </w:t>
      </w:r>
      <w:r>
        <w:rPr>
          <w:i/>
        </w:rPr>
        <w:t>tanggungan</w:t>
      </w:r>
      <w:r>
        <w:t>),</w:t>
      </w:r>
      <w:r>
        <w:rPr>
          <w:spacing w:val="-13"/>
        </w:rPr>
        <w:t xml:space="preserve"> </w:t>
      </w:r>
      <w:r>
        <w:t>fiduciary</w:t>
      </w:r>
      <w:r>
        <w:rPr>
          <w:spacing w:val="-11"/>
        </w:rPr>
        <w:t xml:space="preserve"> </w:t>
      </w:r>
      <w:r>
        <w:t>transfers</w:t>
      </w:r>
      <w:r>
        <w:rPr>
          <w:spacing w:val="-13"/>
        </w:rPr>
        <w:t xml:space="preserve"> </w:t>
      </w:r>
      <w:r>
        <w:t>(</w:t>
      </w:r>
      <w:r>
        <w:rPr>
          <w:i/>
        </w:rPr>
        <w:t>fidusia</w:t>
      </w:r>
      <w:r>
        <w:t>),</w:t>
      </w:r>
      <w:r>
        <w:rPr>
          <w:spacing w:val="-12"/>
        </w:rPr>
        <w:t xml:space="preserve"> </w:t>
      </w:r>
      <w:r>
        <w:t>or</w:t>
      </w:r>
      <w:r>
        <w:rPr>
          <w:spacing w:val="-11"/>
        </w:rPr>
        <w:t xml:space="preserve"> </w:t>
      </w:r>
      <w:r>
        <w:t>pledges</w:t>
      </w:r>
      <w:r>
        <w:rPr>
          <w:spacing w:val="-11"/>
        </w:rPr>
        <w:t xml:space="preserve"> </w:t>
      </w:r>
      <w:r>
        <w:t>(</w:t>
      </w:r>
      <w:r>
        <w:rPr>
          <w:i/>
        </w:rPr>
        <w:t>gadai</w:t>
      </w:r>
      <w:r>
        <w:t>),</w:t>
      </w:r>
      <w:r>
        <w:rPr>
          <w:spacing w:val="-11"/>
        </w:rPr>
        <w:t xml:space="preserve"> </w:t>
      </w:r>
      <w:r>
        <w:t>which</w:t>
      </w:r>
      <w:r>
        <w:rPr>
          <w:spacing w:val="-14"/>
        </w:rPr>
        <w:t xml:space="preserve"> </w:t>
      </w:r>
      <w:r>
        <w:t>confer</w:t>
      </w:r>
      <w:r>
        <w:rPr>
          <w:spacing w:val="-6"/>
        </w:rPr>
        <w:t xml:space="preserve"> </w:t>
      </w:r>
      <w:r>
        <w:t>enforceable</w:t>
      </w:r>
      <w:r>
        <w:rPr>
          <w:spacing w:val="-2"/>
        </w:rPr>
        <w:t xml:space="preserve"> </w:t>
      </w:r>
      <w:r>
        <w:t>rights to</w:t>
      </w:r>
      <w:r>
        <w:rPr>
          <w:spacing w:val="-8"/>
        </w:rPr>
        <w:t xml:space="preserve"> </w:t>
      </w:r>
      <w:r>
        <w:t>creditors</w:t>
      </w:r>
      <w:r>
        <w:rPr>
          <w:spacing w:val="-2"/>
        </w:rPr>
        <w:t xml:space="preserve"> </w:t>
      </w:r>
      <w:r>
        <w:t>about</w:t>
      </w:r>
      <w:r>
        <w:rPr>
          <w:spacing w:val="-1"/>
        </w:rPr>
        <w:t xml:space="preserve"> </w:t>
      </w:r>
      <w:r>
        <w:t>the</w:t>
      </w:r>
      <w:r>
        <w:rPr>
          <w:spacing w:val="-3"/>
        </w:rPr>
        <w:t xml:space="preserve"> </w:t>
      </w:r>
      <w:r>
        <w:t>designated</w:t>
      </w:r>
      <w:r>
        <w:rPr>
          <w:spacing w:val="-5"/>
        </w:rPr>
        <w:t xml:space="preserve"> </w:t>
      </w:r>
      <w:r>
        <w:t>pr</w:t>
      </w:r>
      <w:r>
        <w:t>operty.</w:t>
      </w:r>
      <w:r>
        <w:rPr>
          <w:spacing w:val="-2"/>
        </w:rPr>
        <w:t xml:space="preserve"> </w:t>
      </w:r>
      <w:r>
        <w:t>Legal</w:t>
      </w:r>
      <w:r>
        <w:rPr>
          <w:spacing w:val="-6"/>
        </w:rPr>
        <w:t xml:space="preserve"> </w:t>
      </w:r>
      <w:r>
        <w:t>doctrine</w:t>
      </w:r>
      <w:r>
        <w:rPr>
          <w:spacing w:val="-2"/>
        </w:rPr>
        <w:t xml:space="preserve"> </w:t>
      </w:r>
      <w:r>
        <w:t>and</w:t>
      </w:r>
      <w:r>
        <w:rPr>
          <w:spacing w:val="-4"/>
        </w:rPr>
        <w:t xml:space="preserve"> </w:t>
      </w:r>
      <w:r>
        <w:t>case</w:t>
      </w:r>
      <w:r>
        <w:rPr>
          <w:spacing w:val="-5"/>
        </w:rPr>
        <w:t xml:space="preserve"> </w:t>
      </w:r>
      <w:r>
        <w:t>law</w:t>
      </w:r>
      <w:r>
        <w:rPr>
          <w:spacing w:val="-7"/>
        </w:rPr>
        <w:t xml:space="preserve"> </w:t>
      </w:r>
      <w:r>
        <w:t>affirm</w:t>
      </w:r>
      <w:r>
        <w:rPr>
          <w:spacing w:val="-11"/>
        </w:rPr>
        <w:t xml:space="preserve"> </w:t>
      </w:r>
      <w:r>
        <w:t>that</w:t>
      </w:r>
      <w:r>
        <w:rPr>
          <w:spacing w:val="-4"/>
        </w:rPr>
        <w:t xml:space="preserve"> </w:t>
      </w:r>
      <w:r>
        <w:t>such</w:t>
      </w:r>
      <w:r>
        <w:rPr>
          <w:spacing w:val="-8"/>
        </w:rPr>
        <w:t xml:space="preserve"> </w:t>
      </w:r>
      <w:r>
        <w:t>agreements</w:t>
      </w:r>
      <w:r>
        <w:rPr>
          <w:spacing w:val="-7"/>
        </w:rPr>
        <w:t xml:space="preserve"> </w:t>
      </w:r>
      <w:r>
        <w:t>enhance creditors' positions, allowing them to circumvent concurrent creditor claims during debt enforcement procedures (Godlewski,</w:t>
      </w:r>
      <w:r>
        <w:rPr>
          <w:spacing w:val="40"/>
        </w:rPr>
        <w:t xml:space="preserve"> </w:t>
      </w:r>
      <w:r>
        <w:t>2020).</w:t>
      </w:r>
    </w:p>
    <w:p w:rsidR="00143FDB" w:rsidRDefault="006A44E3">
      <w:pPr>
        <w:pStyle w:val="BodyText"/>
        <w:spacing w:before="1" w:line="276" w:lineRule="auto"/>
        <w:ind w:right="63" w:firstLine="720"/>
      </w:pPr>
      <w:r>
        <w:t>Classification is further divided into general guaran</w:t>
      </w:r>
      <w:r>
        <w:t>tees, applicable proportionally</w:t>
      </w:r>
      <w:r>
        <w:rPr>
          <w:spacing w:val="37"/>
        </w:rPr>
        <w:t xml:space="preserve"> </w:t>
      </w:r>
      <w:r>
        <w:t>to all creditors, and</w:t>
      </w:r>
      <w:r>
        <w:rPr>
          <w:spacing w:val="-10"/>
        </w:rPr>
        <w:t xml:space="preserve"> </w:t>
      </w:r>
      <w:r>
        <w:t>special</w:t>
      </w:r>
      <w:r>
        <w:rPr>
          <w:spacing w:val="-10"/>
        </w:rPr>
        <w:t xml:space="preserve"> </w:t>
      </w:r>
      <w:r>
        <w:t>guarantees,</w:t>
      </w:r>
      <w:r>
        <w:rPr>
          <w:spacing w:val="-10"/>
        </w:rPr>
        <w:t xml:space="preserve"> </w:t>
      </w:r>
      <w:r>
        <w:t>which</w:t>
      </w:r>
      <w:r>
        <w:rPr>
          <w:spacing w:val="-9"/>
        </w:rPr>
        <w:t xml:space="preserve"> </w:t>
      </w:r>
      <w:r>
        <w:t>prioritize specific</w:t>
      </w:r>
      <w:r>
        <w:rPr>
          <w:spacing w:val="-6"/>
        </w:rPr>
        <w:t xml:space="preserve"> </w:t>
      </w:r>
      <w:r>
        <w:t>creditors</w:t>
      </w:r>
      <w:r>
        <w:rPr>
          <w:spacing w:val="-5"/>
        </w:rPr>
        <w:t xml:space="preserve"> </w:t>
      </w:r>
      <w:r>
        <w:t>with</w:t>
      </w:r>
      <w:r>
        <w:rPr>
          <w:spacing w:val="-10"/>
        </w:rPr>
        <w:t xml:space="preserve"> </w:t>
      </w:r>
      <w:r>
        <w:t>collateral</w:t>
      </w:r>
      <w:r>
        <w:rPr>
          <w:spacing w:val="-7"/>
        </w:rPr>
        <w:t xml:space="preserve"> </w:t>
      </w:r>
      <w:r>
        <w:t>rights</w:t>
      </w:r>
      <w:r>
        <w:rPr>
          <w:spacing w:val="15"/>
        </w:rPr>
        <w:t xml:space="preserve"> </w:t>
      </w:r>
      <w:r>
        <w:t>(Marbun</w:t>
      </w:r>
      <w:r>
        <w:rPr>
          <w:spacing w:val="-10"/>
        </w:rPr>
        <w:t xml:space="preserve"> </w:t>
      </w:r>
      <w:r>
        <w:t>&amp;</w:t>
      </w:r>
      <w:r>
        <w:rPr>
          <w:spacing w:val="-12"/>
        </w:rPr>
        <w:t xml:space="preserve"> </w:t>
      </w:r>
      <w:r>
        <w:t>Santoso,</w:t>
      </w:r>
      <w:r>
        <w:rPr>
          <w:spacing w:val="-10"/>
        </w:rPr>
        <w:t xml:space="preserve"> </w:t>
      </w:r>
      <w:r>
        <w:t>2024a). The general guarantee is globally applicable and constitutes the lowest level in the creditor hierarchy, whereas special guarantees enhance the creditor's position by providing legal precedence in execution (Taghizadeh-Hesary</w:t>
      </w:r>
      <w:r>
        <w:rPr>
          <w:spacing w:val="-2"/>
        </w:rPr>
        <w:t xml:space="preserve"> </w:t>
      </w:r>
      <w:r>
        <w:t>et al., 2021). This di</w:t>
      </w:r>
      <w:r>
        <w:t>stinction</w:t>
      </w:r>
      <w:r>
        <w:rPr>
          <w:spacing w:val="38"/>
        </w:rPr>
        <w:t xml:space="preserve"> </w:t>
      </w:r>
      <w:r>
        <w:t xml:space="preserve">is fundamental to the operation of credit law, especially in insolvency or bankruptcy processes, where the repayment hierarchy is crucial in ascertaining recovery </w:t>
      </w:r>
      <w:r>
        <w:rPr>
          <w:spacing w:val="-2"/>
        </w:rPr>
        <w:t>results.</w:t>
      </w:r>
    </w:p>
    <w:p w:rsidR="00143FDB" w:rsidRDefault="006A44E3">
      <w:pPr>
        <w:pStyle w:val="BodyText"/>
        <w:spacing w:line="276" w:lineRule="auto"/>
        <w:ind w:left="146" w:right="52" w:firstLine="837"/>
        <w:jc w:val="right"/>
      </w:pPr>
      <w:r>
        <w:t>This</w:t>
      </w:r>
      <w:r>
        <w:rPr>
          <w:spacing w:val="37"/>
        </w:rPr>
        <w:t xml:space="preserve"> </w:t>
      </w:r>
      <w:r>
        <w:t>typology</w:t>
      </w:r>
      <w:r>
        <w:rPr>
          <w:spacing w:val="75"/>
        </w:rPr>
        <w:t xml:space="preserve"> </w:t>
      </w:r>
      <w:r>
        <w:t>is</w:t>
      </w:r>
      <w:r>
        <w:rPr>
          <w:spacing w:val="39"/>
        </w:rPr>
        <w:t xml:space="preserve"> </w:t>
      </w:r>
      <w:r>
        <w:t>based</w:t>
      </w:r>
      <w:r>
        <w:rPr>
          <w:spacing w:val="-1"/>
        </w:rPr>
        <w:t xml:space="preserve"> </w:t>
      </w:r>
      <w:r>
        <w:t>on</w:t>
      </w:r>
      <w:r>
        <w:rPr>
          <w:spacing w:val="37"/>
        </w:rPr>
        <w:t xml:space="preserve"> </w:t>
      </w:r>
      <w:r>
        <w:t>the</w:t>
      </w:r>
      <w:r>
        <w:rPr>
          <w:spacing w:val="37"/>
        </w:rPr>
        <w:t xml:space="preserve"> </w:t>
      </w:r>
      <w:r>
        <w:t>distinction</w:t>
      </w:r>
      <w:r>
        <w:rPr>
          <w:spacing w:val="77"/>
        </w:rPr>
        <w:t xml:space="preserve"> </w:t>
      </w:r>
      <w:r>
        <w:t>between</w:t>
      </w:r>
      <w:r>
        <w:rPr>
          <w:spacing w:val="20"/>
        </w:rPr>
        <w:t xml:space="preserve"> </w:t>
      </w:r>
      <w:r>
        <w:rPr>
          <w:i/>
        </w:rPr>
        <w:t>obligatio</w:t>
      </w:r>
      <w:r>
        <w:rPr>
          <w:i/>
          <w:spacing w:val="-1"/>
        </w:rPr>
        <w:t xml:space="preserve"> </w:t>
      </w:r>
      <w:r>
        <w:rPr>
          <w:i/>
        </w:rPr>
        <w:t>in</w:t>
      </w:r>
      <w:r>
        <w:rPr>
          <w:i/>
          <w:spacing w:val="28"/>
        </w:rPr>
        <w:t xml:space="preserve"> </w:t>
      </w:r>
      <w:r>
        <w:rPr>
          <w:i/>
        </w:rPr>
        <w:t>personam</w:t>
      </w:r>
      <w:r>
        <w:rPr>
          <w:i/>
          <w:spacing w:val="-2"/>
        </w:rPr>
        <w:t xml:space="preserve"> </w:t>
      </w:r>
      <w:r>
        <w:t>an</w:t>
      </w:r>
      <w:r>
        <w:t>d</w:t>
      </w:r>
      <w:r>
        <w:rPr>
          <w:spacing w:val="29"/>
        </w:rPr>
        <w:t xml:space="preserve"> </w:t>
      </w:r>
      <w:r>
        <w:rPr>
          <w:i/>
        </w:rPr>
        <w:t>obligatio</w:t>
      </w:r>
      <w:r>
        <w:rPr>
          <w:i/>
          <w:spacing w:val="-1"/>
        </w:rPr>
        <w:t xml:space="preserve"> </w:t>
      </w:r>
      <w:r>
        <w:rPr>
          <w:i/>
        </w:rPr>
        <w:t>in</w:t>
      </w:r>
      <w:r>
        <w:rPr>
          <w:i/>
          <w:spacing w:val="-1"/>
        </w:rPr>
        <w:t xml:space="preserve"> </w:t>
      </w:r>
      <w:r>
        <w:rPr>
          <w:i/>
        </w:rPr>
        <w:t xml:space="preserve">rem </w:t>
      </w:r>
      <w:r>
        <w:t>(Koval’, 2024;</w:t>
      </w:r>
      <w:r>
        <w:rPr>
          <w:spacing w:val="40"/>
        </w:rPr>
        <w:t xml:space="preserve"> </w:t>
      </w:r>
      <w:r>
        <w:t>A. W. Stockebrand, 2019).</w:t>
      </w:r>
      <w:r>
        <w:rPr>
          <w:spacing w:val="40"/>
        </w:rPr>
        <w:t xml:space="preserve"> </w:t>
      </w:r>
      <w:r>
        <w:t>Agreements</w:t>
      </w:r>
      <w:r>
        <w:rPr>
          <w:spacing w:val="-3"/>
        </w:rPr>
        <w:t xml:space="preserve"> </w:t>
      </w:r>
      <w:r>
        <w:t>that generate</w:t>
      </w:r>
      <w:r>
        <w:rPr>
          <w:spacing w:val="-3"/>
        </w:rPr>
        <w:t xml:space="preserve"> </w:t>
      </w:r>
      <w:r>
        <w:t>guarantees generally establish</w:t>
      </w:r>
      <w:r>
        <w:rPr>
          <w:spacing w:val="36"/>
        </w:rPr>
        <w:t xml:space="preserve"> </w:t>
      </w:r>
      <w:r>
        <w:t>a real interest over a particular</w:t>
      </w:r>
      <w:r>
        <w:rPr>
          <w:spacing w:val="36"/>
        </w:rPr>
        <w:t xml:space="preserve"> </w:t>
      </w:r>
      <w:r>
        <w:t>object,</w:t>
      </w:r>
      <w:r>
        <w:rPr>
          <w:spacing w:val="36"/>
        </w:rPr>
        <w:t xml:space="preserve"> </w:t>
      </w:r>
      <w:r>
        <w:t>enabling</w:t>
      </w:r>
      <w:r>
        <w:rPr>
          <w:spacing w:val="38"/>
        </w:rPr>
        <w:t xml:space="preserve"> </w:t>
      </w:r>
      <w:r>
        <w:t>creditors to assert their claims</w:t>
      </w:r>
      <w:r>
        <w:rPr>
          <w:spacing w:val="38"/>
        </w:rPr>
        <w:t xml:space="preserve"> </w:t>
      </w:r>
      <w:r>
        <w:t>irrespective</w:t>
      </w:r>
      <w:r>
        <w:rPr>
          <w:spacing w:val="39"/>
        </w:rPr>
        <w:t xml:space="preserve"> </w:t>
      </w:r>
      <w:r>
        <w:t>of the debtor's other liabilities</w:t>
      </w:r>
      <w:r>
        <w:rPr>
          <w:spacing w:val="17"/>
        </w:rPr>
        <w:t xml:space="preserve"> </w:t>
      </w:r>
      <w:r>
        <w:t>(Anggraeni</w:t>
      </w:r>
      <w:r>
        <w:rPr>
          <w:spacing w:val="-14"/>
        </w:rPr>
        <w:t xml:space="preserve"> </w:t>
      </w:r>
      <w:r>
        <w:t>&amp;</w:t>
      </w:r>
      <w:r>
        <w:rPr>
          <w:spacing w:val="-23"/>
        </w:rPr>
        <w:t xml:space="preserve"> </w:t>
      </w:r>
      <w:r>
        <w:t>Imanuddin,</w:t>
      </w:r>
      <w:r>
        <w:rPr>
          <w:spacing w:val="-7"/>
        </w:rPr>
        <w:t xml:space="preserve"> </w:t>
      </w:r>
      <w:r>
        <w:t>2023).</w:t>
      </w:r>
      <w:r>
        <w:rPr>
          <w:spacing w:val="-17"/>
        </w:rPr>
        <w:t xml:space="preserve"> </w:t>
      </w:r>
      <w:r>
        <w:t>This</w:t>
      </w:r>
      <w:r>
        <w:rPr>
          <w:spacing w:val="-6"/>
        </w:rPr>
        <w:t xml:space="preserve"> </w:t>
      </w:r>
      <w:r>
        <w:t>legal</w:t>
      </w:r>
      <w:r>
        <w:rPr>
          <w:spacing w:val="-15"/>
        </w:rPr>
        <w:t xml:space="preserve"> </w:t>
      </w:r>
      <w:r>
        <w:t>mechanism</w:t>
      </w:r>
      <w:r>
        <w:rPr>
          <w:spacing w:val="-17"/>
        </w:rPr>
        <w:t xml:space="preserve"> </w:t>
      </w:r>
      <w:r>
        <w:t>improves contract</w:t>
      </w:r>
      <w:r>
        <w:rPr>
          <w:spacing w:val="-27"/>
        </w:rPr>
        <w:t xml:space="preserve"> </w:t>
      </w:r>
      <w:r>
        <w:t>enforcement</w:t>
      </w:r>
      <w:r>
        <w:rPr>
          <w:spacing w:val="-14"/>
        </w:rPr>
        <w:t xml:space="preserve"> </w:t>
      </w:r>
      <w:r>
        <w:t>and</w:t>
      </w:r>
      <w:r>
        <w:rPr>
          <w:spacing w:val="-19"/>
        </w:rPr>
        <w:t xml:space="preserve"> </w:t>
      </w:r>
      <w:r>
        <w:t>boosts transactional</w:t>
      </w:r>
      <w:r>
        <w:rPr>
          <w:spacing w:val="-14"/>
        </w:rPr>
        <w:t xml:space="preserve"> </w:t>
      </w:r>
      <w:r>
        <w:t>certainty</w:t>
      </w:r>
      <w:r>
        <w:rPr>
          <w:spacing w:val="-21"/>
        </w:rPr>
        <w:t xml:space="preserve"> </w:t>
      </w:r>
      <w:r>
        <w:t>in</w:t>
      </w:r>
      <w:r>
        <w:rPr>
          <w:spacing w:val="-14"/>
        </w:rPr>
        <w:t xml:space="preserve"> </w:t>
      </w:r>
      <w:r>
        <w:t>the</w:t>
      </w:r>
      <w:r>
        <w:rPr>
          <w:spacing w:val="-17"/>
        </w:rPr>
        <w:t xml:space="preserve"> </w:t>
      </w:r>
      <w:r>
        <w:t>banking</w:t>
      </w:r>
      <w:r>
        <w:rPr>
          <w:spacing w:val="-15"/>
        </w:rPr>
        <w:t xml:space="preserve"> </w:t>
      </w:r>
      <w:r>
        <w:t>sector,</w:t>
      </w:r>
      <w:r>
        <w:rPr>
          <w:spacing w:val="-24"/>
        </w:rPr>
        <w:t xml:space="preserve"> </w:t>
      </w:r>
      <w:r>
        <w:t>especially</w:t>
      </w:r>
      <w:r>
        <w:rPr>
          <w:spacing w:val="-16"/>
        </w:rPr>
        <w:t xml:space="preserve"> </w:t>
      </w:r>
      <w:r>
        <w:t>for</w:t>
      </w:r>
      <w:r>
        <w:rPr>
          <w:spacing w:val="-14"/>
        </w:rPr>
        <w:t xml:space="preserve"> </w:t>
      </w:r>
      <w:r>
        <w:t>high-value</w:t>
      </w:r>
      <w:r>
        <w:rPr>
          <w:spacing w:val="5"/>
        </w:rPr>
        <w:t xml:space="preserve"> </w:t>
      </w:r>
      <w:r>
        <w:t>lending</w:t>
      </w:r>
      <w:r>
        <w:rPr>
          <w:spacing w:val="-14"/>
        </w:rPr>
        <w:t xml:space="preserve"> </w:t>
      </w:r>
      <w:r>
        <w:t>where</w:t>
      </w:r>
      <w:r>
        <w:rPr>
          <w:spacing w:val="-21"/>
        </w:rPr>
        <w:t xml:space="preserve"> </w:t>
      </w:r>
      <w:r>
        <w:t>risk</w:t>
      </w:r>
      <w:r>
        <w:rPr>
          <w:spacing w:val="-16"/>
        </w:rPr>
        <w:t xml:space="preserve"> </w:t>
      </w:r>
      <w:r>
        <w:t>reduction</w:t>
      </w:r>
      <w:r>
        <w:rPr>
          <w:spacing w:val="-17"/>
        </w:rPr>
        <w:t xml:space="preserve"> </w:t>
      </w:r>
      <w:r>
        <w:t>is</w:t>
      </w:r>
      <w:r>
        <w:rPr>
          <w:spacing w:val="-14"/>
        </w:rPr>
        <w:t xml:space="preserve"> </w:t>
      </w:r>
      <w:r>
        <w:t>crucial. This classification</w:t>
      </w:r>
      <w:r>
        <w:rPr>
          <w:spacing w:val="40"/>
        </w:rPr>
        <w:t xml:space="preserve"> </w:t>
      </w:r>
      <w:r>
        <w:t>frameworkis not only theoreti</w:t>
      </w:r>
      <w:r>
        <w:t>cal but also</w:t>
      </w:r>
      <w:r>
        <w:rPr>
          <w:spacing w:val="-11"/>
        </w:rPr>
        <w:t xml:space="preserve"> </w:t>
      </w:r>
      <w:r>
        <w:t>has significant</w:t>
      </w:r>
      <w:r>
        <w:rPr>
          <w:spacing w:val="40"/>
        </w:rPr>
        <w:t xml:space="preserve"> </w:t>
      </w:r>
      <w:r>
        <w:t>procedural</w:t>
      </w:r>
      <w:r>
        <w:rPr>
          <w:spacing w:val="-1"/>
        </w:rPr>
        <w:t xml:space="preserve"> </w:t>
      </w:r>
      <w:r>
        <w:t>and</w:t>
      </w:r>
      <w:r>
        <w:rPr>
          <w:spacing w:val="-12"/>
        </w:rPr>
        <w:t xml:space="preserve"> </w:t>
      </w:r>
      <w:r>
        <w:t>practical consequences.</w:t>
      </w:r>
      <w:r>
        <w:rPr>
          <w:spacing w:val="40"/>
        </w:rPr>
        <w:t xml:space="preserve"> </w:t>
      </w:r>
      <w:r>
        <w:t>In</w:t>
      </w:r>
      <w:r>
        <w:rPr>
          <w:spacing w:val="40"/>
        </w:rPr>
        <w:t xml:space="preserve"> </w:t>
      </w:r>
      <w:r>
        <w:t>reality,</w:t>
      </w:r>
      <w:r>
        <w:rPr>
          <w:spacing w:val="40"/>
        </w:rPr>
        <w:t xml:space="preserve"> </w:t>
      </w:r>
      <w:r>
        <w:t>banks</w:t>
      </w:r>
      <w:r>
        <w:rPr>
          <w:spacing w:val="40"/>
        </w:rPr>
        <w:t xml:space="preserve"> </w:t>
      </w:r>
      <w:r>
        <w:t>tend</w:t>
      </w:r>
      <w:r>
        <w:rPr>
          <w:spacing w:val="40"/>
        </w:rPr>
        <w:t xml:space="preserve"> </w:t>
      </w:r>
      <w:r>
        <w:t>to</w:t>
      </w:r>
      <w:r>
        <w:rPr>
          <w:spacing w:val="40"/>
        </w:rPr>
        <w:t xml:space="preserve"> </w:t>
      </w:r>
      <w:r>
        <w:t>prefer</w:t>
      </w:r>
      <w:r>
        <w:rPr>
          <w:spacing w:val="40"/>
        </w:rPr>
        <w:t xml:space="preserve"> </w:t>
      </w:r>
      <w:r>
        <w:t>specialized</w:t>
      </w:r>
      <w:r>
        <w:rPr>
          <w:spacing w:val="40"/>
        </w:rPr>
        <w:t xml:space="preserve"> </w:t>
      </w:r>
      <w:r>
        <w:t>collateral</w:t>
      </w:r>
      <w:r>
        <w:rPr>
          <w:spacing w:val="40"/>
        </w:rPr>
        <w:t xml:space="preserve"> </w:t>
      </w:r>
      <w:r>
        <w:t>arrangements</w:t>
      </w:r>
      <w:r>
        <w:rPr>
          <w:spacing w:val="40"/>
        </w:rPr>
        <w:t xml:space="preserve"> </w:t>
      </w:r>
      <w:r>
        <w:t>to</w:t>
      </w:r>
      <w:r>
        <w:rPr>
          <w:spacing w:val="40"/>
        </w:rPr>
        <w:t xml:space="preserve"> </w:t>
      </w:r>
      <w:r>
        <w:t>mitigate</w:t>
      </w:r>
      <w:r>
        <w:rPr>
          <w:spacing w:val="40"/>
        </w:rPr>
        <w:t xml:space="preserve"> </w:t>
      </w:r>
      <w:r>
        <w:t>risk</w:t>
      </w:r>
      <w:r>
        <w:rPr>
          <w:spacing w:val="40"/>
        </w:rPr>
        <w:t xml:space="preserve"> </w:t>
      </w:r>
      <w:r>
        <w:t>to unsecuredclaims</w:t>
      </w:r>
      <w:r>
        <w:rPr>
          <w:spacing w:val="-13"/>
        </w:rPr>
        <w:t xml:space="preserve"> </w:t>
      </w:r>
      <w:r>
        <w:t>and</w:t>
      </w:r>
      <w:r>
        <w:rPr>
          <w:spacing w:val="-18"/>
        </w:rPr>
        <w:t xml:space="preserve"> </w:t>
      </w:r>
      <w:r>
        <w:t>to</w:t>
      </w:r>
      <w:r>
        <w:rPr>
          <w:spacing w:val="-18"/>
        </w:rPr>
        <w:t xml:space="preserve"> </w:t>
      </w:r>
      <w:r>
        <w:t>streamline</w:t>
      </w:r>
      <w:r>
        <w:rPr>
          <w:spacing w:val="-3"/>
        </w:rPr>
        <w:t xml:space="preserve"> </w:t>
      </w:r>
      <w:r>
        <w:t>the</w:t>
      </w:r>
      <w:r>
        <w:rPr>
          <w:spacing w:val="-11"/>
        </w:rPr>
        <w:t xml:space="preserve"> </w:t>
      </w:r>
      <w:r>
        <w:t>legal</w:t>
      </w:r>
      <w:r>
        <w:rPr>
          <w:spacing w:val="-12"/>
        </w:rPr>
        <w:t xml:space="preserve"> </w:t>
      </w:r>
      <w:r>
        <w:t>enforcement</w:t>
      </w:r>
      <w:r>
        <w:rPr>
          <w:spacing w:val="-25"/>
        </w:rPr>
        <w:t xml:space="preserve"> </w:t>
      </w:r>
      <w:r>
        <w:t>procedure</w:t>
      </w:r>
      <w:r>
        <w:rPr>
          <w:spacing w:val="33"/>
        </w:rPr>
        <w:t xml:space="preserve"> </w:t>
      </w:r>
      <w:r>
        <w:t>(Ioannidou</w:t>
      </w:r>
      <w:r>
        <w:rPr>
          <w:spacing w:val="-2"/>
        </w:rPr>
        <w:t xml:space="preserve"> </w:t>
      </w:r>
      <w:r>
        <w:t>et</w:t>
      </w:r>
      <w:r>
        <w:rPr>
          <w:spacing w:val="-29"/>
        </w:rPr>
        <w:t xml:space="preserve"> </w:t>
      </w:r>
      <w:r>
        <w:t>al.,</w:t>
      </w:r>
      <w:r>
        <w:rPr>
          <w:spacing w:val="-11"/>
        </w:rPr>
        <w:t xml:space="preserve"> </w:t>
      </w:r>
      <w:r>
        <w:t>2022).</w:t>
      </w:r>
      <w:r>
        <w:rPr>
          <w:spacing w:val="-2"/>
        </w:rPr>
        <w:t xml:space="preserve"> </w:t>
      </w:r>
      <w:r>
        <w:t>The</w:t>
      </w:r>
      <w:r>
        <w:rPr>
          <w:spacing w:val="-21"/>
        </w:rPr>
        <w:t xml:space="preserve"> </w:t>
      </w:r>
      <w:r>
        <w:t>differential significantly</w:t>
      </w:r>
      <w:r>
        <w:rPr>
          <w:spacing w:val="40"/>
        </w:rPr>
        <w:t xml:space="preserve"> </w:t>
      </w:r>
      <w:r>
        <w:t>impacts</w:t>
      </w:r>
      <w:r>
        <w:rPr>
          <w:spacing w:val="40"/>
        </w:rPr>
        <w:t xml:space="preserve"> </w:t>
      </w:r>
      <w:r>
        <w:t>credit</w:t>
      </w:r>
      <w:r>
        <w:rPr>
          <w:spacing w:val="40"/>
        </w:rPr>
        <w:t xml:space="preserve"> </w:t>
      </w:r>
      <w:r>
        <w:t>scoring,</w:t>
      </w:r>
      <w:r>
        <w:rPr>
          <w:spacing w:val="40"/>
        </w:rPr>
        <w:t xml:space="preserve"> </w:t>
      </w:r>
      <w:r>
        <w:t>internal</w:t>
      </w:r>
      <w:r>
        <w:rPr>
          <w:spacing w:val="40"/>
        </w:rPr>
        <w:t xml:space="preserve"> </w:t>
      </w:r>
      <w:r>
        <w:t>compliance</w:t>
      </w:r>
      <w:r>
        <w:rPr>
          <w:spacing w:val="40"/>
        </w:rPr>
        <w:t xml:space="preserve"> </w:t>
      </w:r>
      <w:r>
        <w:t>protocols,</w:t>
      </w:r>
      <w:r>
        <w:rPr>
          <w:spacing w:val="40"/>
        </w:rPr>
        <w:t xml:space="preserve"> </w:t>
      </w:r>
      <w:r>
        <w:t>and</w:t>
      </w:r>
      <w:r>
        <w:rPr>
          <w:spacing w:val="40"/>
        </w:rPr>
        <w:t xml:space="preserve"> </w:t>
      </w:r>
      <w:r>
        <w:t>regulatory</w:t>
      </w:r>
      <w:r>
        <w:rPr>
          <w:spacing w:val="40"/>
        </w:rPr>
        <w:t xml:space="preserve"> </w:t>
      </w:r>
      <w:r>
        <w:t>reporting</w:t>
      </w:r>
      <w:r>
        <w:rPr>
          <w:spacing w:val="40"/>
        </w:rPr>
        <w:t xml:space="preserve"> </w:t>
      </w:r>
      <w:r>
        <w:t>criteria, rendering</w:t>
      </w:r>
      <w:r>
        <w:rPr>
          <w:spacing w:val="-14"/>
        </w:rPr>
        <w:t xml:space="preserve"> </w:t>
      </w:r>
      <w:r>
        <w:t>it</w:t>
      </w:r>
      <w:r>
        <w:rPr>
          <w:spacing w:val="-14"/>
        </w:rPr>
        <w:t xml:space="preserve"> </w:t>
      </w:r>
      <w:r>
        <w:t>a</w:t>
      </w:r>
      <w:r>
        <w:rPr>
          <w:spacing w:val="-24"/>
        </w:rPr>
        <w:t xml:space="preserve"> </w:t>
      </w:r>
      <w:r>
        <w:t>vital</w:t>
      </w:r>
      <w:r>
        <w:rPr>
          <w:spacing w:val="-14"/>
        </w:rPr>
        <w:t xml:space="preserve"> </w:t>
      </w:r>
      <w:r>
        <w:t>component</w:t>
      </w:r>
      <w:r>
        <w:rPr>
          <w:spacing w:val="-13"/>
        </w:rPr>
        <w:t xml:space="preserve"> </w:t>
      </w:r>
      <w:r>
        <w:t>of</w:t>
      </w:r>
      <w:r>
        <w:rPr>
          <w:spacing w:val="-14"/>
        </w:rPr>
        <w:t xml:space="preserve"> </w:t>
      </w:r>
      <w:r>
        <w:t>both</w:t>
      </w:r>
      <w:r>
        <w:rPr>
          <w:spacing w:val="-14"/>
        </w:rPr>
        <w:t xml:space="preserve"> </w:t>
      </w:r>
      <w:r>
        <w:t>legal</w:t>
      </w:r>
      <w:r>
        <w:rPr>
          <w:spacing w:val="-14"/>
        </w:rPr>
        <w:t xml:space="preserve"> </w:t>
      </w:r>
      <w:r>
        <w:t>theory</w:t>
      </w:r>
      <w:r>
        <w:rPr>
          <w:spacing w:val="-24"/>
        </w:rPr>
        <w:t xml:space="preserve"> </w:t>
      </w:r>
      <w:r>
        <w:t>and</w:t>
      </w:r>
      <w:r>
        <w:rPr>
          <w:spacing w:val="-22"/>
        </w:rPr>
        <w:t xml:space="preserve"> </w:t>
      </w:r>
      <w:r>
        <w:t>financial</w:t>
      </w:r>
      <w:r>
        <w:rPr>
          <w:spacing w:val="-14"/>
        </w:rPr>
        <w:t xml:space="preserve"> </w:t>
      </w:r>
      <w:r>
        <w:t>governance</w:t>
      </w:r>
      <w:r>
        <w:rPr>
          <w:spacing w:val="-13"/>
        </w:rPr>
        <w:t xml:space="preserve"> </w:t>
      </w:r>
      <w:r>
        <w:t>within</w:t>
      </w:r>
      <w:r>
        <w:rPr>
          <w:spacing w:val="-2"/>
        </w:rPr>
        <w:t xml:space="preserve"> </w:t>
      </w:r>
      <w:r>
        <w:t>Indonesia's</w:t>
      </w:r>
      <w:r>
        <w:rPr>
          <w:spacing w:val="-4"/>
        </w:rPr>
        <w:t xml:space="preserve"> </w:t>
      </w:r>
      <w:r>
        <w:t>credit</w:t>
      </w:r>
      <w:r>
        <w:rPr>
          <w:spacing w:val="-16"/>
        </w:rPr>
        <w:t xml:space="preserve"> </w:t>
      </w:r>
      <w:r>
        <w:t>system.</w:t>
      </w:r>
    </w:p>
    <w:p w:rsidR="00143FDB" w:rsidRDefault="00143FDB">
      <w:pPr>
        <w:pStyle w:val="BodyText"/>
        <w:spacing w:before="65"/>
        <w:ind w:left="0"/>
        <w:jc w:val="left"/>
      </w:pPr>
    </w:p>
    <w:p w:rsidR="00143FDB" w:rsidRDefault="006A44E3">
      <w:pPr>
        <w:pStyle w:val="Heading3"/>
        <w:numPr>
          <w:ilvl w:val="1"/>
          <w:numId w:val="1"/>
        </w:numPr>
        <w:tabs>
          <w:tab w:val="left" w:pos="456"/>
        </w:tabs>
        <w:ind w:left="456" w:hanging="343"/>
        <w:jc w:val="both"/>
      </w:pPr>
      <w:r>
        <w:t>Material</w:t>
      </w:r>
      <w:r>
        <w:rPr>
          <w:spacing w:val="-8"/>
        </w:rPr>
        <w:t xml:space="preserve"> </w:t>
      </w:r>
      <w:r>
        <w:t>Guarantee</w:t>
      </w:r>
      <w:r>
        <w:rPr>
          <w:spacing w:val="18"/>
        </w:rPr>
        <w:t xml:space="preserve"> </w:t>
      </w:r>
      <w:r>
        <w:t>and</w:t>
      </w:r>
      <w:r>
        <w:rPr>
          <w:spacing w:val="-14"/>
        </w:rPr>
        <w:t xml:space="preserve"> </w:t>
      </w:r>
      <w:r>
        <w:t>Legal</w:t>
      </w:r>
      <w:r>
        <w:rPr>
          <w:spacing w:val="-7"/>
        </w:rPr>
        <w:t xml:space="preserve"> </w:t>
      </w:r>
      <w:r>
        <w:t>Security</w:t>
      </w:r>
      <w:r>
        <w:rPr>
          <w:spacing w:val="-13"/>
        </w:rPr>
        <w:t xml:space="preserve"> </w:t>
      </w:r>
      <w:r>
        <w:rPr>
          <w:spacing w:val="-2"/>
        </w:rPr>
        <w:t>Instruments</w:t>
      </w:r>
    </w:p>
    <w:p w:rsidR="00143FDB" w:rsidRDefault="006A44E3">
      <w:pPr>
        <w:pStyle w:val="BodyText"/>
        <w:spacing w:before="11" w:line="276" w:lineRule="auto"/>
        <w:ind w:right="52" w:firstLine="720"/>
      </w:pPr>
      <w:r>
        <w:t>Material</w:t>
      </w:r>
      <w:r>
        <w:rPr>
          <w:spacing w:val="-9"/>
        </w:rPr>
        <w:t xml:space="preserve"> </w:t>
      </w:r>
      <w:r>
        <w:t>guarantees</w:t>
      </w:r>
      <w:r>
        <w:rPr>
          <w:spacing w:val="-6"/>
        </w:rPr>
        <w:t xml:space="preserve"> </w:t>
      </w:r>
      <w:r>
        <w:t>are</w:t>
      </w:r>
      <w:r>
        <w:rPr>
          <w:spacing w:val="-10"/>
        </w:rPr>
        <w:t xml:space="preserve"> </w:t>
      </w:r>
      <w:r>
        <w:t>fundamental</w:t>
      </w:r>
      <w:r>
        <w:rPr>
          <w:spacing w:val="-8"/>
        </w:rPr>
        <w:t xml:space="preserve"> </w:t>
      </w:r>
      <w:r>
        <w:t>to</w:t>
      </w:r>
      <w:r>
        <w:rPr>
          <w:spacing w:val="-8"/>
        </w:rPr>
        <w:t xml:space="preserve"> </w:t>
      </w:r>
      <w:r>
        <w:t>credit</w:t>
      </w:r>
      <w:r>
        <w:rPr>
          <w:spacing w:val="-6"/>
        </w:rPr>
        <w:t xml:space="preserve"> </w:t>
      </w:r>
      <w:r>
        <w:t>security</w:t>
      </w:r>
      <w:r>
        <w:rPr>
          <w:spacing w:val="-8"/>
        </w:rPr>
        <w:t xml:space="preserve"> </w:t>
      </w:r>
      <w:r>
        <w:t>in</w:t>
      </w:r>
      <w:r>
        <w:rPr>
          <w:spacing w:val="-6"/>
        </w:rPr>
        <w:t xml:space="preserve"> </w:t>
      </w:r>
      <w:r>
        <w:t>Indonesian</w:t>
      </w:r>
      <w:r>
        <w:rPr>
          <w:spacing w:val="-3"/>
        </w:rPr>
        <w:t xml:space="preserve"> </w:t>
      </w:r>
      <w:r>
        <w:t>civil</w:t>
      </w:r>
      <w:r>
        <w:rPr>
          <w:spacing w:val="19"/>
        </w:rPr>
        <w:t xml:space="preserve"> </w:t>
      </w:r>
      <w:r>
        <w:t>law,</w:t>
      </w:r>
      <w:r>
        <w:rPr>
          <w:spacing w:val="-11"/>
        </w:rPr>
        <w:t xml:space="preserve"> </w:t>
      </w:r>
      <w:r>
        <w:t>signifying</w:t>
      </w:r>
      <w:r>
        <w:rPr>
          <w:spacing w:val="32"/>
        </w:rPr>
        <w:t xml:space="preserve"> </w:t>
      </w:r>
      <w:r>
        <w:t>real</w:t>
      </w:r>
      <w:r>
        <w:rPr>
          <w:spacing w:val="-14"/>
        </w:rPr>
        <w:t xml:space="preserve"> </w:t>
      </w:r>
      <w:r>
        <w:t>rights over</w:t>
      </w:r>
      <w:r>
        <w:rPr>
          <w:spacing w:val="-4"/>
        </w:rPr>
        <w:t xml:space="preserve"> </w:t>
      </w:r>
      <w:r>
        <w:t>certain</w:t>
      </w:r>
      <w:r>
        <w:rPr>
          <w:spacing w:val="-7"/>
        </w:rPr>
        <w:t xml:space="preserve"> </w:t>
      </w:r>
      <w:r>
        <w:t>assets</w:t>
      </w:r>
      <w:r>
        <w:rPr>
          <w:spacing w:val="-5"/>
        </w:rPr>
        <w:t xml:space="preserve"> </w:t>
      </w:r>
      <w:r>
        <w:t>that</w:t>
      </w:r>
      <w:r>
        <w:rPr>
          <w:spacing w:val="-7"/>
        </w:rPr>
        <w:t xml:space="preserve"> </w:t>
      </w:r>
      <w:r>
        <w:t>can</w:t>
      </w:r>
      <w:r>
        <w:rPr>
          <w:spacing w:val="-7"/>
        </w:rPr>
        <w:t xml:space="preserve"> </w:t>
      </w:r>
      <w:r>
        <w:t>be</w:t>
      </w:r>
      <w:r>
        <w:rPr>
          <w:spacing w:val="-1"/>
        </w:rPr>
        <w:t xml:space="preserve"> </w:t>
      </w:r>
      <w:r>
        <w:t>enforced</w:t>
      </w:r>
      <w:r>
        <w:rPr>
          <w:spacing w:val="-7"/>
        </w:rPr>
        <w:t xml:space="preserve"> </w:t>
      </w:r>
      <w:r>
        <w:t>independently</w:t>
      </w:r>
      <w:r>
        <w:rPr>
          <w:spacing w:val="35"/>
        </w:rPr>
        <w:t xml:space="preserve"> </w:t>
      </w:r>
      <w:r>
        <w:t>of the</w:t>
      </w:r>
      <w:r>
        <w:rPr>
          <w:spacing w:val="-5"/>
        </w:rPr>
        <w:t xml:space="preserve"> </w:t>
      </w:r>
      <w:r>
        <w:t>debtor's</w:t>
      </w:r>
      <w:r>
        <w:rPr>
          <w:spacing w:val="-1"/>
        </w:rPr>
        <w:t xml:space="preserve"> </w:t>
      </w:r>
      <w:r>
        <w:t>personal</w:t>
      </w:r>
      <w:r>
        <w:rPr>
          <w:spacing w:val="-5"/>
        </w:rPr>
        <w:t xml:space="preserve"> </w:t>
      </w:r>
      <w:r>
        <w:t>duties</w:t>
      </w:r>
      <w:r>
        <w:rPr>
          <w:spacing w:val="30"/>
        </w:rPr>
        <w:t xml:space="preserve"> </w:t>
      </w:r>
      <w:r>
        <w:t>(Susanti</w:t>
      </w:r>
      <w:r>
        <w:rPr>
          <w:spacing w:val="-5"/>
        </w:rPr>
        <w:t xml:space="preserve"> </w:t>
      </w:r>
      <w:r>
        <w:t>&amp;</w:t>
      </w:r>
      <w:r>
        <w:rPr>
          <w:spacing w:val="-8"/>
        </w:rPr>
        <w:t xml:space="preserve"> </w:t>
      </w:r>
      <w:r>
        <w:t>Imanullah, 2019). These guar</w:t>
      </w:r>
      <w:r>
        <w:t>antees encompass mortgage rights (</w:t>
      </w:r>
      <w:r>
        <w:rPr>
          <w:i/>
        </w:rPr>
        <w:t>hak tanggungan</w:t>
      </w:r>
      <w:r>
        <w:t xml:space="preserve">), fiduciary transfer </w:t>
      </w:r>
      <w:r>
        <w:rPr>
          <w:i/>
        </w:rPr>
        <w:t>(fidusia</w:t>
      </w:r>
      <w:r>
        <w:t>), and pledges (</w:t>
      </w:r>
      <w:r>
        <w:rPr>
          <w:i/>
        </w:rPr>
        <w:t>gadai</w:t>
      </w:r>
      <w:r>
        <w:t>), enabling creditors to explicitly</w:t>
      </w:r>
      <w:r>
        <w:rPr>
          <w:spacing w:val="39"/>
        </w:rPr>
        <w:t xml:space="preserve"> </w:t>
      </w:r>
      <w:r>
        <w:t>associate their claims with particular property. In contrast to</w:t>
      </w:r>
      <w:r>
        <w:rPr>
          <w:spacing w:val="-14"/>
        </w:rPr>
        <w:t xml:space="preserve"> </w:t>
      </w:r>
      <w:r>
        <w:t>general</w:t>
      </w:r>
      <w:r>
        <w:rPr>
          <w:spacing w:val="-14"/>
        </w:rPr>
        <w:t xml:space="preserve"> </w:t>
      </w:r>
      <w:r>
        <w:t>guarantees,</w:t>
      </w:r>
      <w:r>
        <w:rPr>
          <w:spacing w:val="-13"/>
        </w:rPr>
        <w:t xml:space="preserve"> </w:t>
      </w:r>
      <w:r>
        <w:t>material</w:t>
      </w:r>
      <w:r>
        <w:rPr>
          <w:spacing w:val="-12"/>
        </w:rPr>
        <w:t xml:space="preserve"> </w:t>
      </w:r>
      <w:r>
        <w:t>guarantees</w:t>
      </w:r>
      <w:r>
        <w:rPr>
          <w:spacing w:val="-13"/>
        </w:rPr>
        <w:t xml:space="preserve"> </w:t>
      </w:r>
      <w:r>
        <w:t>confer</w:t>
      </w:r>
      <w:r>
        <w:rPr>
          <w:spacing w:val="-13"/>
        </w:rPr>
        <w:t xml:space="preserve"> </w:t>
      </w:r>
      <w:r>
        <w:t>legal</w:t>
      </w:r>
      <w:r>
        <w:rPr>
          <w:spacing w:val="-12"/>
        </w:rPr>
        <w:t xml:space="preserve"> </w:t>
      </w:r>
      <w:r>
        <w:t>precedence</w:t>
      </w:r>
      <w:r>
        <w:rPr>
          <w:spacing w:val="-13"/>
        </w:rPr>
        <w:t xml:space="preserve"> </w:t>
      </w:r>
      <w:r>
        <w:t>and</w:t>
      </w:r>
      <w:r>
        <w:rPr>
          <w:spacing w:val="-14"/>
        </w:rPr>
        <w:t xml:space="preserve"> </w:t>
      </w:r>
      <w:r>
        <w:t>execution</w:t>
      </w:r>
      <w:r>
        <w:rPr>
          <w:spacing w:val="-14"/>
        </w:rPr>
        <w:t xml:space="preserve"> </w:t>
      </w:r>
      <w:r>
        <w:t>priority,</w:t>
      </w:r>
      <w:r>
        <w:rPr>
          <w:spacing w:val="-14"/>
        </w:rPr>
        <w:t xml:space="preserve"> </w:t>
      </w:r>
      <w:r>
        <w:t>which</w:t>
      </w:r>
      <w:r>
        <w:rPr>
          <w:spacing w:val="-13"/>
        </w:rPr>
        <w:t xml:space="preserve"> </w:t>
      </w:r>
      <w:r>
        <w:t>are</w:t>
      </w:r>
      <w:r>
        <w:rPr>
          <w:spacing w:val="-14"/>
        </w:rPr>
        <w:t xml:space="preserve"> </w:t>
      </w:r>
      <w:r>
        <w:t>essential for addressing conflicting</w:t>
      </w:r>
      <w:r>
        <w:rPr>
          <w:spacing w:val="40"/>
        </w:rPr>
        <w:t xml:space="preserve"> </w:t>
      </w:r>
      <w:r>
        <w:t>creditor claims in the case of</w:t>
      </w:r>
      <w:r>
        <w:rPr>
          <w:spacing w:val="-6"/>
        </w:rPr>
        <w:t xml:space="preserve"> </w:t>
      </w:r>
      <w:r>
        <w:t>default</w:t>
      </w:r>
      <w:r>
        <w:rPr>
          <w:spacing w:val="35"/>
        </w:rPr>
        <w:t xml:space="preserve"> </w:t>
      </w:r>
      <w:r>
        <w:t>(Mashdurohatun &amp;</w:t>
      </w:r>
      <w:r>
        <w:rPr>
          <w:spacing w:val="-3"/>
        </w:rPr>
        <w:t xml:space="preserve"> </w:t>
      </w:r>
      <w:r>
        <w:t>Arifin,</w:t>
      </w:r>
      <w:r>
        <w:rPr>
          <w:spacing w:val="40"/>
        </w:rPr>
        <w:t xml:space="preserve"> </w:t>
      </w:r>
      <w:r>
        <w:t>2017).</w:t>
      </w:r>
    </w:p>
    <w:p w:rsidR="00143FDB" w:rsidRDefault="006A44E3">
      <w:pPr>
        <w:pStyle w:val="BodyText"/>
        <w:spacing w:line="276" w:lineRule="auto"/>
        <w:ind w:right="65"/>
      </w:pPr>
      <w:r>
        <w:t>The mortgage right, governed by Law No. 4 of 1996, serves as the primary mechanism for securing immovab</w:t>
      </w:r>
      <w:r>
        <w:t>le property, including</w:t>
      </w:r>
      <w:r>
        <w:rPr>
          <w:spacing w:val="35"/>
        </w:rPr>
        <w:t xml:space="preserve"> </w:t>
      </w:r>
      <w:r>
        <w:t>land</w:t>
      </w:r>
      <w:r>
        <w:rPr>
          <w:spacing w:val="-1"/>
        </w:rPr>
        <w:t xml:space="preserve"> </w:t>
      </w:r>
      <w:r>
        <w:t>and</w:t>
      </w:r>
      <w:r>
        <w:rPr>
          <w:spacing w:val="-5"/>
        </w:rPr>
        <w:t xml:space="preserve"> </w:t>
      </w:r>
      <w:r>
        <w:t>buildings.</w:t>
      </w:r>
      <w:r>
        <w:rPr>
          <w:spacing w:val="37"/>
        </w:rPr>
        <w:t xml:space="preserve"> </w:t>
      </w:r>
      <w:r>
        <w:t>It confers</w:t>
      </w:r>
      <w:r>
        <w:rPr>
          <w:spacing w:val="-5"/>
        </w:rPr>
        <w:t xml:space="preserve"> </w:t>
      </w:r>
      <w:r>
        <w:t>upon</w:t>
      </w:r>
      <w:r>
        <w:rPr>
          <w:spacing w:val="-1"/>
        </w:rPr>
        <w:t xml:space="preserve"> </w:t>
      </w:r>
      <w:r>
        <w:t>the creditor the authority</w:t>
      </w:r>
      <w:r>
        <w:rPr>
          <w:spacing w:val="-4"/>
        </w:rPr>
        <w:t xml:space="preserve"> </w:t>
      </w:r>
      <w:r>
        <w:t>to</w:t>
      </w:r>
      <w:r>
        <w:rPr>
          <w:spacing w:val="-5"/>
        </w:rPr>
        <w:t xml:space="preserve"> </w:t>
      </w:r>
      <w:r>
        <w:t>execute</w:t>
      </w:r>
      <w:r>
        <w:rPr>
          <w:spacing w:val="-9"/>
        </w:rPr>
        <w:t xml:space="preserve"> </w:t>
      </w:r>
      <w:r>
        <w:t>the property</w:t>
      </w:r>
      <w:r>
        <w:rPr>
          <w:spacing w:val="-14"/>
        </w:rPr>
        <w:t xml:space="preserve"> </w:t>
      </w:r>
      <w:r>
        <w:t>by</w:t>
      </w:r>
      <w:r>
        <w:rPr>
          <w:spacing w:val="-14"/>
        </w:rPr>
        <w:t xml:space="preserve"> </w:t>
      </w:r>
      <w:r>
        <w:t>a</w:t>
      </w:r>
      <w:r>
        <w:rPr>
          <w:spacing w:val="-13"/>
        </w:rPr>
        <w:t xml:space="preserve"> </w:t>
      </w:r>
      <w:r>
        <w:t>public</w:t>
      </w:r>
      <w:r>
        <w:rPr>
          <w:spacing w:val="-12"/>
        </w:rPr>
        <w:t xml:space="preserve"> </w:t>
      </w:r>
      <w:r>
        <w:t>auction</w:t>
      </w:r>
      <w:r>
        <w:rPr>
          <w:spacing w:val="-14"/>
        </w:rPr>
        <w:t xml:space="preserve"> </w:t>
      </w:r>
      <w:r>
        <w:t>without</w:t>
      </w:r>
      <w:r>
        <w:rPr>
          <w:spacing w:val="-14"/>
        </w:rPr>
        <w:t xml:space="preserve"> </w:t>
      </w:r>
      <w:r>
        <w:t>judicial</w:t>
      </w:r>
      <w:r>
        <w:rPr>
          <w:spacing w:val="-12"/>
        </w:rPr>
        <w:t xml:space="preserve"> </w:t>
      </w:r>
      <w:r>
        <w:t>interference,</w:t>
      </w:r>
      <w:r>
        <w:rPr>
          <w:spacing w:val="-9"/>
        </w:rPr>
        <w:t xml:space="preserve"> </w:t>
      </w:r>
      <w:r>
        <w:t>contingent</w:t>
      </w:r>
      <w:r>
        <w:rPr>
          <w:spacing w:val="-12"/>
        </w:rPr>
        <w:t xml:space="preserve"> </w:t>
      </w:r>
      <w:r>
        <w:t>upon</w:t>
      </w:r>
      <w:r>
        <w:rPr>
          <w:spacing w:val="-13"/>
        </w:rPr>
        <w:t xml:space="preserve"> </w:t>
      </w:r>
      <w:r>
        <w:t>the</w:t>
      </w:r>
      <w:r>
        <w:rPr>
          <w:spacing w:val="-12"/>
        </w:rPr>
        <w:t xml:space="preserve"> </w:t>
      </w:r>
      <w:r>
        <w:t>arrangement</w:t>
      </w:r>
      <w:r>
        <w:rPr>
          <w:spacing w:val="-9"/>
        </w:rPr>
        <w:t xml:space="preserve"> </w:t>
      </w:r>
      <w:r>
        <w:t>being</w:t>
      </w:r>
      <w:r>
        <w:rPr>
          <w:spacing w:val="-11"/>
        </w:rPr>
        <w:t xml:space="preserve"> </w:t>
      </w:r>
      <w:r>
        <w:t>formalized as</w:t>
      </w:r>
      <w:r>
        <w:rPr>
          <w:spacing w:val="-7"/>
        </w:rPr>
        <w:t xml:space="preserve"> </w:t>
      </w:r>
      <w:r>
        <w:t>a</w:t>
      </w:r>
      <w:r>
        <w:rPr>
          <w:spacing w:val="-7"/>
        </w:rPr>
        <w:t xml:space="preserve"> </w:t>
      </w:r>
      <w:r>
        <w:t>notarial deed</w:t>
      </w:r>
      <w:r>
        <w:rPr>
          <w:spacing w:val="-4"/>
        </w:rPr>
        <w:t xml:space="preserve"> </w:t>
      </w:r>
      <w:r>
        <w:t>and</w:t>
      </w:r>
      <w:r>
        <w:rPr>
          <w:spacing w:val="-5"/>
        </w:rPr>
        <w:t xml:space="preserve"> </w:t>
      </w:r>
      <w:r>
        <w:t>recorded</w:t>
      </w:r>
      <w:r>
        <w:rPr>
          <w:spacing w:val="-6"/>
        </w:rPr>
        <w:t xml:space="preserve"> </w:t>
      </w:r>
      <w:r>
        <w:t>in the</w:t>
      </w:r>
      <w:r>
        <w:rPr>
          <w:spacing w:val="-2"/>
        </w:rPr>
        <w:t xml:space="preserve"> </w:t>
      </w:r>
      <w:r>
        <w:t>land registry. The legal principle</w:t>
      </w:r>
      <w:r>
        <w:rPr>
          <w:spacing w:val="37"/>
        </w:rPr>
        <w:t xml:space="preserve"> </w:t>
      </w:r>
      <w:r>
        <w:t>of</w:t>
      </w:r>
      <w:r>
        <w:rPr>
          <w:spacing w:val="-1"/>
        </w:rPr>
        <w:t xml:space="preserve"> </w:t>
      </w:r>
      <w:r>
        <w:t>droit de suite, or</w:t>
      </w:r>
      <w:r>
        <w:rPr>
          <w:spacing w:val="-1"/>
        </w:rPr>
        <w:t xml:space="preserve"> </w:t>
      </w:r>
      <w:r>
        <w:t>follow-up</w:t>
      </w:r>
      <w:r>
        <w:rPr>
          <w:spacing w:val="21"/>
        </w:rPr>
        <w:t xml:space="preserve"> </w:t>
      </w:r>
      <w:r>
        <w:t>right, inherent in mortgage law, guarantees</w:t>
      </w:r>
      <w:r>
        <w:rPr>
          <w:spacing w:val="-6"/>
        </w:rPr>
        <w:t xml:space="preserve"> </w:t>
      </w:r>
      <w:r>
        <w:t>that</w:t>
      </w:r>
      <w:r>
        <w:rPr>
          <w:spacing w:val="-6"/>
        </w:rPr>
        <w:t xml:space="preserve"> </w:t>
      </w:r>
      <w:r>
        <w:t>the right persists with the</w:t>
      </w:r>
      <w:r>
        <w:rPr>
          <w:spacing w:val="-6"/>
        </w:rPr>
        <w:t xml:space="preserve"> </w:t>
      </w:r>
      <w:r>
        <w:t>object despite alterations in ownership, thereby fortifying</w:t>
      </w:r>
      <w:r>
        <w:rPr>
          <w:spacing w:val="40"/>
        </w:rPr>
        <w:t xml:space="preserve"> </w:t>
      </w:r>
      <w:r>
        <w:t>the creditor’s legal standing.</w:t>
      </w:r>
    </w:p>
    <w:p w:rsidR="00143FDB" w:rsidRDefault="006A44E3">
      <w:pPr>
        <w:pStyle w:val="BodyText"/>
        <w:spacing w:before="9" w:line="278" w:lineRule="auto"/>
        <w:ind w:right="65" w:firstLine="720"/>
      </w:pPr>
      <w:r>
        <w:t>Conversely,</w:t>
      </w:r>
      <w:r>
        <w:rPr>
          <w:spacing w:val="-10"/>
        </w:rPr>
        <w:t xml:space="preserve"> </w:t>
      </w:r>
      <w:r>
        <w:t>fiduciary</w:t>
      </w:r>
      <w:r>
        <w:rPr>
          <w:spacing w:val="-7"/>
        </w:rPr>
        <w:t xml:space="preserve"> </w:t>
      </w:r>
      <w:r>
        <w:t>assurances</w:t>
      </w:r>
      <w:r>
        <w:rPr>
          <w:spacing w:val="-9"/>
        </w:rPr>
        <w:t xml:space="preserve"> </w:t>
      </w:r>
      <w:r>
        <w:t>predominantly</w:t>
      </w:r>
      <w:r>
        <w:rPr>
          <w:spacing w:val="-6"/>
        </w:rPr>
        <w:t xml:space="preserve"> </w:t>
      </w:r>
      <w:r>
        <w:t>pertain</w:t>
      </w:r>
      <w:r>
        <w:rPr>
          <w:spacing w:val="-7"/>
        </w:rPr>
        <w:t xml:space="preserve"> </w:t>
      </w:r>
      <w:r>
        <w:t>to</w:t>
      </w:r>
      <w:r>
        <w:rPr>
          <w:spacing w:val="-10"/>
        </w:rPr>
        <w:t xml:space="preserve"> </w:t>
      </w:r>
      <w:r>
        <w:t>moveable assets,</w:t>
      </w:r>
      <w:r>
        <w:rPr>
          <w:spacing w:val="-10"/>
        </w:rPr>
        <w:t xml:space="preserve"> </w:t>
      </w:r>
      <w:r>
        <w:t>vehicles,</w:t>
      </w:r>
      <w:r>
        <w:rPr>
          <w:spacing w:val="-10"/>
        </w:rPr>
        <w:t xml:space="preserve"> </w:t>
      </w:r>
      <w:r>
        <w:t>machinery,</w:t>
      </w:r>
      <w:r>
        <w:rPr>
          <w:spacing w:val="-2"/>
        </w:rPr>
        <w:t xml:space="preserve"> </w:t>
      </w:r>
      <w:r>
        <w:t>or inventory,</w:t>
      </w:r>
      <w:r>
        <w:rPr>
          <w:spacing w:val="20"/>
        </w:rPr>
        <w:t xml:space="preserve"> </w:t>
      </w:r>
      <w:r>
        <w:t>and</w:t>
      </w:r>
      <w:r>
        <w:rPr>
          <w:spacing w:val="-5"/>
        </w:rPr>
        <w:t xml:space="preserve"> </w:t>
      </w:r>
      <w:r>
        <w:t>are</w:t>
      </w:r>
      <w:r>
        <w:rPr>
          <w:spacing w:val="-7"/>
        </w:rPr>
        <w:t xml:space="preserve"> </w:t>
      </w:r>
      <w:r>
        <w:t>regulated</w:t>
      </w:r>
      <w:r>
        <w:rPr>
          <w:spacing w:val="-6"/>
        </w:rPr>
        <w:t xml:space="preserve"> </w:t>
      </w:r>
      <w:r>
        <w:t>by</w:t>
      </w:r>
      <w:r>
        <w:rPr>
          <w:spacing w:val="-3"/>
        </w:rPr>
        <w:t xml:space="preserve"> </w:t>
      </w:r>
      <w:r>
        <w:t>Law</w:t>
      </w:r>
      <w:r>
        <w:rPr>
          <w:spacing w:val="-6"/>
        </w:rPr>
        <w:t xml:space="preserve"> </w:t>
      </w:r>
      <w:r>
        <w:t>No.</w:t>
      </w:r>
      <w:r>
        <w:rPr>
          <w:spacing w:val="-5"/>
        </w:rPr>
        <w:t xml:space="preserve"> </w:t>
      </w:r>
      <w:r>
        <w:t>42</w:t>
      </w:r>
      <w:r>
        <w:rPr>
          <w:spacing w:val="-5"/>
        </w:rPr>
        <w:t xml:space="preserve"> </w:t>
      </w:r>
      <w:r>
        <w:t>of</w:t>
      </w:r>
      <w:r>
        <w:rPr>
          <w:spacing w:val="-1"/>
        </w:rPr>
        <w:t xml:space="preserve"> </w:t>
      </w:r>
      <w:r>
        <w:t>1999</w:t>
      </w:r>
      <w:r>
        <w:rPr>
          <w:spacing w:val="-2"/>
        </w:rPr>
        <w:t xml:space="preserve"> </w:t>
      </w:r>
      <w:r>
        <w:t>(Law</w:t>
      </w:r>
      <w:r>
        <w:rPr>
          <w:spacing w:val="-5"/>
        </w:rPr>
        <w:t xml:space="preserve"> </w:t>
      </w:r>
      <w:r>
        <w:t>of</w:t>
      </w:r>
      <w:r>
        <w:rPr>
          <w:spacing w:val="-1"/>
        </w:rPr>
        <w:t xml:space="preserve"> </w:t>
      </w:r>
      <w:r>
        <w:t>the</w:t>
      </w:r>
      <w:r>
        <w:rPr>
          <w:spacing w:val="-6"/>
        </w:rPr>
        <w:t xml:space="preserve"> </w:t>
      </w:r>
      <w:r>
        <w:t>Republic</w:t>
      </w:r>
      <w:r>
        <w:rPr>
          <w:spacing w:val="27"/>
        </w:rPr>
        <w:t xml:space="preserve"> </w:t>
      </w:r>
      <w:r>
        <w:t>of Indonesia Number 42</w:t>
      </w:r>
      <w:r>
        <w:rPr>
          <w:spacing w:val="-9"/>
        </w:rPr>
        <w:t xml:space="preserve"> </w:t>
      </w:r>
      <w:r>
        <w:t>of</w:t>
      </w:r>
      <w:r>
        <w:rPr>
          <w:spacing w:val="-6"/>
        </w:rPr>
        <w:t xml:space="preserve"> </w:t>
      </w:r>
      <w:r>
        <w:t>1999 on</w:t>
      </w:r>
      <w:r>
        <w:rPr>
          <w:spacing w:val="-14"/>
        </w:rPr>
        <w:t xml:space="preserve"> </w:t>
      </w:r>
      <w:r>
        <w:t>Fiduciary,</w:t>
      </w:r>
      <w:r>
        <w:rPr>
          <w:spacing w:val="22"/>
        </w:rPr>
        <w:t xml:space="preserve"> </w:t>
      </w:r>
      <w:r>
        <w:t>1999).</w:t>
      </w:r>
      <w:r>
        <w:rPr>
          <w:spacing w:val="-3"/>
        </w:rPr>
        <w:t xml:space="preserve"> </w:t>
      </w:r>
      <w:r>
        <w:t>The fiduciary transfer</w:t>
      </w:r>
      <w:r>
        <w:rPr>
          <w:spacing w:val="-12"/>
        </w:rPr>
        <w:t xml:space="preserve"> </w:t>
      </w:r>
      <w:r>
        <w:t>permits</w:t>
      </w:r>
      <w:r>
        <w:rPr>
          <w:spacing w:val="-2"/>
        </w:rPr>
        <w:t xml:space="preserve"> </w:t>
      </w:r>
      <w:r>
        <w:t>the</w:t>
      </w:r>
      <w:r>
        <w:rPr>
          <w:spacing w:val="-16"/>
        </w:rPr>
        <w:t xml:space="preserve"> </w:t>
      </w:r>
      <w:r>
        <w:t>debtor</w:t>
      </w:r>
      <w:r>
        <w:rPr>
          <w:spacing w:val="-4"/>
        </w:rPr>
        <w:t xml:space="preserve"> </w:t>
      </w:r>
      <w:r>
        <w:t>to maintain possession of</w:t>
      </w:r>
      <w:r>
        <w:rPr>
          <w:spacing w:val="-7"/>
        </w:rPr>
        <w:t xml:space="preserve"> </w:t>
      </w:r>
      <w:r>
        <w:t>the</w:t>
      </w:r>
      <w:r>
        <w:rPr>
          <w:spacing w:val="-16"/>
        </w:rPr>
        <w:t xml:space="preserve"> </w:t>
      </w:r>
      <w:r>
        <w:t>collateral while</w:t>
      </w:r>
    </w:p>
    <w:p w:rsidR="00143FDB" w:rsidRDefault="00143FDB">
      <w:pPr>
        <w:pStyle w:val="BodyText"/>
        <w:spacing w:line="278" w:lineRule="auto"/>
        <w:sectPr w:rsidR="00143FDB">
          <w:pgSz w:w="11920" w:h="16860"/>
          <w:pgMar w:top="1460" w:right="1133" w:bottom="2020" w:left="1133" w:header="282" w:footer="1831" w:gutter="0"/>
          <w:cols w:space="720"/>
        </w:sectPr>
      </w:pPr>
    </w:p>
    <w:p w:rsidR="00143FDB" w:rsidRDefault="006A44E3">
      <w:pPr>
        <w:pStyle w:val="BodyText"/>
        <w:spacing w:before="83" w:line="276" w:lineRule="auto"/>
        <w:ind w:right="56"/>
      </w:pPr>
      <w:r>
        <w:lastRenderedPageBreak/>
        <w:t>conferring an in rem security interest to the creditor (Pamungkas, 2021). This configuration</w:t>
      </w:r>
      <w:r>
        <w:rPr>
          <w:spacing w:val="40"/>
        </w:rPr>
        <w:t xml:space="preserve"> </w:t>
      </w:r>
      <w:r>
        <w:t>is especially advantageous in commercial and industrial lending, where borrowers necessitate ongoi</w:t>
      </w:r>
      <w:r>
        <w:t>ng access to functioning</w:t>
      </w:r>
      <w:r>
        <w:rPr>
          <w:spacing w:val="35"/>
        </w:rPr>
        <w:t xml:space="preserve"> </w:t>
      </w:r>
      <w:r>
        <w:t>assets.</w:t>
      </w:r>
      <w:r>
        <w:rPr>
          <w:spacing w:val="-5"/>
        </w:rPr>
        <w:t xml:space="preserve"> </w:t>
      </w:r>
      <w:r>
        <w:t>The</w:t>
      </w:r>
      <w:r>
        <w:rPr>
          <w:spacing w:val="-2"/>
        </w:rPr>
        <w:t xml:space="preserve"> </w:t>
      </w:r>
      <w:r>
        <w:t>registration of fiduciary arrangements</w:t>
      </w:r>
      <w:r>
        <w:rPr>
          <w:spacing w:val="-1"/>
        </w:rPr>
        <w:t xml:space="preserve"> </w:t>
      </w:r>
      <w:r>
        <w:t>with the Fiduciary</w:t>
      </w:r>
      <w:r>
        <w:rPr>
          <w:spacing w:val="-1"/>
        </w:rPr>
        <w:t xml:space="preserve"> </w:t>
      </w:r>
      <w:r>
        <w:t>Registry Office augments transparency and legal</w:t>
      </w:r>
      <w:r>
        <w:rPr>
          <w:spacing w:val="40"/>
        </w:rPr>
        <w:t xml:space="preserve"> </w:t>
      </w:r>
      <w:r>
        <w:t>enforceability.</w:t>
      </w:r>
    </w:p>
    <w:p w:rsidR="00143FDB" w:rsidRDefault="006A44E3">
      <w:pPr>
        <w:pStyle w:val="BodyText"/>
        <w:spacing w:line="276" w:lineRule="auto"/>
        <w:ind w:right="54" w:firstLine="720"/>
      </w:pPr>
      <w:r>
        <w:t>Pledges,</w:t>
      </w:r>
      <w:r>
        <w:rPr>
          <w:spacing w:val="-8"/>
        </w:rPr>
        <w:t xml:space="preserve"> </w:t>
      </w:r>
      <w:r>
        <w:t>regulated</w:t>
      </w:r>
      <w:r>
        <w:rPr>
          <w:spacing w:val="-7"/>
        </w:rPr>
        <w:t xml:space="preserve"> </w:t>
      </w:r>
      <w:r>
        <w:t>by</w:t>
      </w:r>
      <w:r>
        <w:rPr>
          <w:spacing w:val="-10"/>
        </w:rPr>
        <w:t xml:space="preserve"> </w:t>
      </w:r>
      <w:r>
        <w:t>the</w:t>
      </w:r>
      <w:r>
        <w:rPr>
          <w:spacing w:val="-3"/>
        </w:rPr>
        <w:t xml:space="preserve"> </w:t>
      </w:r>
      <w:r>
        <w:t>Civil Code</w:t>
      </w:r>
      <w:r>
        <w:rPr>
          <w:spacing w:val="-10"/>
        </w:rPr>
        <w:t xml:space="preserve"> </w:t>
      </w:r>
      <w:r>
        <w:t>(Articles</w:t>
      </w:r>
      <w:r>
        <w:rPr>
          <w:spacing w:val="-4"/>
        </w:rPr>
        <w:t xml:space="preserve"> </w:t>
      </w:r>
      <w:r>
        <w:t>1150–1160),</w:t>
      </w:r>
      <w:r>
        <w:rPr>
          <w:spacing w:val="-1"/>
        </w:rPr>
        <w:t xml:space="preserve"> </w:t>
      </w:r>
      <w:r>
        <w:t>provide</w:t>
      </w:r>
      <w:r>
        <w:rPr>
          <w:spacing w:val="-3"/>
        </w:rPr>
        <w:t xml:space="preserve"> </w:t>
      </w:r>
      <w:r>
        <w:t>a</w:t>
      </w:r>
      <w:r>
        <w:rPr>
          <w:spacing w:val="-6"/>
        </w:rPr>
        <w:t xml:space="preserve"> </w:t>
      </w:r>
      <w:r>
        <w:t>conventional kind</w:t>
      </w:r>
      <w:r>
        <w:rPr>
          <w:spacing w:val="-3"/>
        </w:rPr>
        <w:t xml:space="preserve"> </w:t>
      </w:r>
      <w:r>
        <w:t>of</w:t>
      </w:r>
      <w:r>
        <w:rPr>
          <w:spacing w:val="-5"/>
        </w:rPr>
        <w:t xml:space="preserve"> </w:t>
      </w:r>
      <w:r>
        <w:t>materia</w:t>
      </w:r>
      <w:r>
        <w:t>l security wherein the creditor obtains possession of the collateral as a prerequisite for the loan (Indonesian Civil</w:t>
      </w:r>
      <w:r>
        <w:rPr>
          <w:spacing w:val="39"/>
        </w:rPr>
        <w:t xml:space="preserve"> </w:t>
      </w:r>
      <w:r>
        <w:t>Law, 1847). Pledges necessitate the physical transfer of the object, in contrast to fiduciary transfers, which may restrict their applicab</w:t>
      </w:r>
      <w:r>
        <w:t>ility in dynamic commercial environments (Yunus et al., 2020). Nonetheless, they continue to be useful in securing minor consumer loans or high-value movable assets, especially when possession is</w:t>
      </w:r>
      <w:r>
        <w:rPr>
          <w:spacing w:val="40"/>
        </w:rPr>
        <w:t xml:space="preserve"> </w:t>
      </w:r>
      <w:r>
        <w:t>deemed crucial for creditor</w:t>
      </w:r>
      <w:r>
        <w:rPr>
          <w:spacing w:val="40"/>
        </w:rPr>
        <w:t xml:space="preserve"> </w:t>
      </w:r>
      <w:r>
        <w:t>protection.</w:t>
      </w:r>
    </w:p>
    <w:p w:rsidR="00143FDB" w:rsidRDefault="006A44E3">
      <w:pPr>
        <w:pStyle w:val="BodyText"/>
        <w:spacing w:before="2" w:line="273" w:lineRule="auto"/>
        <w:ind w:right="68"/>
      </w:pPr>
      <w:r>
        <w:t>All types</w:t>
      </w:r>
      <w:r>
        <w:rPr>
          <w:spacing w:val="-4"/>
        </w:rPr>
        <w:t xml:space="preserve"> </w:t>
      </w:r>
      <w:r>
        <w:t>of materia</w:t>
      </w:r>
      <w:r>
        <w:t>l guarantees</w:t>
      </w:r>
      <w:r>
        <w:rPr>
          <w:spacing w:val="-4"/>
        </w:rPr>
        <w:t xml:space="preserve"> </w:t>
      </w:r>
      <w:r>
        <w:t>possess</w:t>
      </w:r>
      <w:r>
        <w:rPr>
          <w:spacing w:val="-5"/>
        </w:rPr>
        <w:t xml:space="preserve"> </w:t>
      </w:r>
      <w:r>
        <w:t>common attributes:</w:t>
      </w:r>
      <w:r>
        <w:rPr>
          <w:spacing w:val="-1"/>
        </w:rPr>
        <w:t xml:space="preserve"> </w:t>
      </w:r>
      <w:r>
        <w:t>they</w:t>
      </w:r>
      <w:r>
        <w:rPr>
          <w:spacing w:val="-5"/>
        </w:rPr>
        <w:t xml:space="preserve"> </w:t>
      </w:r>
      <w:r>
        <w:t>create</w:t>
      </w:r>
      <w:r>
        <w:rPr>
          <w:spacing w:val="-5"/>
        </w:rPr>
        <w:t xml:space="preserve"> </w:t>
      </w:r>
      <w:r>
        <w:t>prioritized</w:t>
      </w:r>
      <w:r>
        <w:rPr>
          <w:spacing w:val="30"/>
        </w:rPr>
        <w:t xml:space="preserve"> </w:t>
      </w:r>
      <w:r>
        <w:t>claims, are</w:t>
      </w:r>
      <w:r>
        <w:rPr>
          <w:spacing w:val="-5"/>
        </w:rPr>
        <w:t xml:space="preserve"> </w:t>
      </w:r>
      <w:r>
        <w:t xml:space="preserve">transferable, and can be enforced without previous judicial consent, provided procedural requirements are met. These legal attributes offer substantial legal clarity and risk mitigation for banks and creditors (Modras, 2023). When effectively implemented, </w:t>
      </w:r>
      <w:r>
        <w:t>material guarantees bolster the creditor's negotiating power and improve financial stability</w:t>
      </w:r>
      <w:r>
        <w:rPr>
          <w:spacing w:val="16"/>
        </w:rPr>
        <w:t xml:space="preserve"> </w:t>
      </w:r>
      <w:r>
        <w:t>by</w:t>
      </w:r>
      <w:r>
        <w:rPr>
          <w:spacing w:val="-10"/>
        </w:rPr>
        <w:t xml:space="preserve"> </w:t>
      </w:r>
      <w:r>
        <w:t>guaranteeing</w:t>
      </w:r>
      <w:r>
        <w:rPr>
          <w:spacing w:val="-1"/>
        </w:rPr>
        <w:t xml:space="preserve"> </w:t>
      </w:r>
      <w:r>
        <w:t>that</w:t>
      </w:r>
      <w:r>
        <w:rPr>
          <w:spacing w:val="-10"/>
        </w:rPr>
        <w:t xml:space="preserve"> </w:t>
      </w:r>
      <w:r>
        <w:t>credit</w:t>
      </w:r>
      <w:r>
        <w:rPr>
          <w:spacing w:val="-4"/>
        </w:rPr>
        <w:t xml:space="preserve"> </w:t>
      </w:r>
      <w:r>
        <w:t>transactions</w:t>
      </w:r>
      <w:r>
        <w:rPr>
          <w:spacing w:val="-11"/>
        </w:rPr>
        <w:t xml:space="preserve"> </w:t>
      </w:r>
      <w:r>
        <w:t>are</w:t>
      </w:r>
      <w:r>
        <w:rPr>
          <w:spacing w:val="-10"/>
        </w:rPr>
        <w:t xml:space="preserve"> </w:t>
      </w:r>
      <w:r>
        <w:t>supported</w:t>
      </w:r>
      <w:r>
        <w:rPr>
          <w:spacing w:val="-10"/>
        </w:rPr>
        <w:t xml:space="preserve"> </w:t>
      </w:r>
      <w:r>
        <w:t>with</w:t>
      </w:r>
      <w:r>
        <w:rPr>
          <w:spacing w:val="-9"/>
        </w:rPr>
        <w:t xml:space="preserve"> </w:t>
      </w:r>
      <w:r>
        <w:t>enforceable</w:t>
      </w:r>
      <w:r>
        <w:rPr>
          <w:spacing w:val="-11"/>
        </w:rPr>
        <w:t xml:space="preserve"> </w:t>
      </w:r>
      <w:r>
        <w:t>security</w:t>
      </w:r>
      <w:r>
        <w:rPr>
          <w:spacing w:val="-10"/>
        </w:rPr>
        <w:t xml:space="preserve"> </w:t>
      </w:r>
      <w:r>
        <w:t>measures.</w:t>
      </w:r>
    </w:p>
    <w:p w:rsidR="00143FDB" w:rsidRDefault="00143FDB">
      <w:pPr>
        <w:pStyle w:val="BodyText"/>
        <w:spacing w:before="63"/>
        <w:ind w:left="0"/>
        <w:jc w:val="left"/>
      </w:pPr>
    </w:p>
    <w:p w:rsidR="00143FDB" w:rsidRDefault="006A44E3">
      <w:pPr>
        <w:pStyle w:val="Heading3"/>
        <w:numPr>
          <w:ilvl w:val="1"/>
          <w:numId w:val="1"/>
        </w:numPr>
        <w:tabs>
          <w:tab w:val="left" w:pos="456"/>
        </w:tabs>
        <w:ind w:left="456" w:hanging="343"/>
        <w:jc w:val="both"/>
      </w:pPr>
      <w:r>
        <w:t>Personal</w:t>
      </w:r>
      <w:r>
        <w:rPr>
          <w:spacing w:val="-12"/>
        </w:rPr>
        <w:t xml:space="preserve"> </w:t>
      </w:r>
      <w:r>
        <w:t>and</w:t>
      </w:r>
      <w:r>
        <w:rPr>
          <w:spacing w:val="-14"/>
        </w:rPr>
        <w:t xml:space="preserve"> </w:t>
      </w:r>
      <w:r>
        <w:t>Corporate</w:t>
      </w:r>
      <w:r>
        <w:rPr>
          <w:spacing w:val="12"/>
        </w:rPr>
        <w:t xml:space="preserve"> </w:t>
      </w:r>
      <w:r>
        <w:t>Guarantee</w:t>
      </w:r>
      <w:r>
        <w:rPr>
          <w:spacing w:val="12"/>
        </w:rPr>
        <w:t xml:space="preserve"> </w:t>
      </w:r>
      <w:r>
        <w:rPr>
          <w:spacing w:val="-2"/>
        </w:rPr>
        <w:t>Mechanisms</w:t>
      </w:r>
    </w:p>
    <w:p w:rsidR="00143FDB" w:rsidRDefault="006A44E3">
      <w:pPr>
        <w:pStyle w:val="BodyText"/>
        <w:spacing w:before="13" w:line="276" w:lineRule="auto"/>
        <w:ind w:right="53" w:firstLine="720"/>
      </w:pPr>
      <w:r>
        <w:t>Indonesian law acknowledges</w:t>
      </w:r>
      <w:r>
        <w:t xml:space="preserve"> human guarantees (</w:t>
      </w:r>
      <w:r>
        <w:rPr>
          <w:i/>
        </w:rPr>
        <w:t>borgtocht</w:t>
      </w:r>
      <w:r>
        <w:t>) alongside material guarantees, establishing enforceable legal requirements for a third party to assume a debtor's financial responsibilit ies upon default (Kamilah, 2021). These assurances are governed by Articles 1820 to 1850</w:t>
      </w:r>
      <w:r>
        <w:t xml:space="preserve"> of the Indonesian Civil</w:t>
      </w:r>
      <w:r>
        <w:rPr>
          <w:spacing w:val="-13"/>
        </w:rPr>
        <w:t xml:space="preserve"> </w:t>
      </w:r>
      <w:r>
        <w:t>Code</w:t>
      </w:r>
      <w:r>
        <w:rPr>
          <w:spacing w:val="-13"/>
        </w:rPr>
        <w:t xml:space="preserve"> </w:t>
      </w:r>
      <w:r>
        <w:t>and</w:t>
      </w:r>
      <w:r>
        <w:rPr>
          <w:spacing w:val="-13"/>
        </w:rPr>
        <w:t xml:space="preserve"> </w:t>
      </w:r>
      <w:r>
        <w:t>differ</w:t>
      </w:r>
      <w:r>
        <w:rPr>
          <w:spacing w:val="-12"/>
        </w:rPr>
        <w:t xml:space="preserve"> </w:t>
      </w:r>
      <w:r>
        <w:t>from</w:t>
      </w:r>
      <w:r>
        <w:rPr>
          <w:spacing w:val="-14"/>
        </w:rPr>
        <w:t xml:space="preserve"> </w:t>
      </w:r>
      <w:r>
        <w:t>material</w:t>
      </w:r>
      <w:r>
        <w:rPr>
          <w:spacing w:val="-12"/>
        </w:rPr>
        <w:t xml:space="preserve"> </w:t>
      </w:r>
      <w:r>
        <w:t>guarantees</w:t>
      </w:r>
      <w:r>
        <w:rPr>
          <w:spacing w:val="-12"/>
        </w:rPr>
        <w:t xml:space="preserve"> </w:t>
      </w:r>
      <w:r>
        <w:t>in</w:t>
      </w:r>
      <w:r>
        <w:rPr>
          <w:spacing w:val="-10"/>
        </w:rPr>
        <w:t xml:space="preserve"> </w:t>
      </w:r>
      <w:r>
        <w:t>that</w:t>
      </w:r>
      <w:r>
        <w:rPr>
          <w:spacing w:val="-12"/>
        </w:rPr>
        <w:t xml:space="preserve"> </w:t>
      </w:r>
      <w:r>
        <w:t>they</w:t>
      </w:r>
      <w:r>
        <w:rPr>
          <w:spacing w:val="-14"/>
        </w:rPr>
        <w:t xml:space="preserve"> </w:t>
      </w:r>
      <w:r>
        <w:t>are</w:t>
      </w:r>
      <w:r>
        <w:rPr>
          <w:spacing w:val="-13"/>
        </w:rPr>
        <w:t xml:space="preserve"> </w:t>
      </w:r>
      <w:r>
        <w:t>not</w:t>
      </w:r>
      <w:r>
        <w:rPr>
          <w:spacing w:val="-12"/>
        </w:rPr>
        <w:t xml:space="preserve"> </w:t>
      </w:r>
      <w:r>
        <w:t>linked</w:t>
      </w:r>
      <w:r>
        <w:rPr>
          <w:spacing w:val="-1"/>
        </w:rPr>
        <w:t xml:space="preserve"> </w:t>
      </w:r>
      <w:r>
        <w:t>to</w:t>
      </w:r>
      <w:r>
        <w:rPr>
          <w:spacing w:val="-13"/>
        </w:rPr>
        <w:t xml:space="preserve"> </w:t>
      </w:r>
      <w:r>
        <w:t>a</w:t>
      </w:r>
      <w:r>
        <w:rPr>
          <w:spacing w:val="-10"/>
        </w:rPr>
        <w:t xml:space="preserve"> </w:t>
      </w:r>
      <w:r>
        <w:t>specific</w:t>
      </w:r>
      <w:r>
        <w:rPr>
          <w:spacing w:val="-12"/>
        </w:rPr>
        <w:t xml:space="preserve"> </w:t>
      </w:r>
      <w:r>
        <w:t>object</w:t>
      </w:r>
      <w:r>
        <w:rPr>
          <w:spacing w:val="-7"/>
        </w:rPr>
        <w:t xml:space="preserve"> </w:t>
      </w:r>
      <w:r>
        <w:t>but</w:t>
      </w:r>
      <w:r>
        <w:rPr>
          <w:spacing w:val="-7"/>
        </w:rPr>
        <w:t xml:space="preserve"> </w:t>
      </w:r>
      <w:r>
        <w:t>to</w:t>
      </w:r>
      <w:r>
        <w:rPr>
          <w:spacing w:val="-13"/>
        </w:rPr>
        <w:t xml:space="preserve"> </w:t>
      </w:r>
      <w:r>
        <w:t>a</w:t>
      </w:r>
      <w:r>
        <w:rPr>
          <w:spacing w:val="-10"/>
        </w:rPr>
        <w:t xml:space="preserve"> </w:t>
      </w:r>
      <w:r>
        <w:t>personal commitment. In fact, personal guarantees are frequently employed when the debtor possesses inadequate collateral,</w:t>
      </w:r>
      <w:r>
        <w:rPr>
          <w:spacing w:val="40"/>
        </w:rPr>
        <w:t xml:space="preserve"> </w:t>
      </w:r>
      <w:r>
        <w:t>enabling</w:t>
      </w:r>
      <w:r>
        <w:rPr>
          <w:spacing w:val="40"/>
        </w:rPr>
        <w:t xml:space="preserve"> </w:t>
      </w:r>
      <w:r>
        <w:t>banks to depend on the creditworthiness</w:t>
      </w:r>
      <w:r>
        <w:rPr>
          <w:spacing w:val="40"/>
        </w:rPr>
        <w:t xml:space="preserve"> </w:t>
      </w:r>
      <w:r>
        <w:t>of an</w:t>
      </w:r>
      <w:r>
        <w:rPr>
          <w:spacing w:val="-10"/>
        </w:rPr>
        <w:t xml:space="preserve"> </w:t>
      </w:r>
      <w:r>
        <w:t>alternative</w:t>
      </w:r>
      <w:r>
        <w:rPr>
          <w:spacing w:val="40"/>
        </w:rPr>
        <w:t xml:space="preserve"> </w:t>
      </w:r>
      <w:r>
        <w:t>party to ensure repayment.</w:t>
      </w:r>
    </w:p>
    <w:p w:rsidR="00143FDB" w:rsidRDefault="006A44E3">
      <w:pPr>
        <w:pStyle w:val="BodyText"/>
        <w:spacing w:before="12" w:line="276" w:lineRule="auto"/>
        <w:ind w:right="55" w:firstLine="720"/>
      </w:pPr>
      <w:r>
        <w:t>The predominant type of personal guarantee in banking is the corporate guarantee, when a firm, typically a</w:t>
      </w:r>
      <w:r>
        <w:rPr>
          <w:spacing w:val="-6"/>
        </w:rPr>
        <w:t xml:space="preserve"> </w:t>
      </w:r>
      <w:r>
        <w:t>parent</w:t>
      </w:r>
      <w:r>
        <w:rPr>
          <w:spacing w:val="-2"/>
        </w:rPr>
        <w:t xml:space="preserve"> </w:t>
      </w:r>
      <w:r>
        <w:t>or</w:t>
      </w:r>
      <w:r>
        <w:rPr>
          <w:spacing w:val="-5"/>
        </w:rPr>
        <w:t xml:space="preserve"> </w:t>
      </w:r>
      <w:r>
        <w:t>associated</w:t>
      </w:r>
      <w:r>
        <w:rPr>
          <w:spacing w:val="-5"/>
        </w:rPr>
        <w:t xml:space="preserve"> </w:t>
      </w:r>
      <w:r>
        <w:t>entity, commits to</w:t>
      </w:r>
      <w:r>
        <w:rPr>
          <w:spacing w:val="-4"/>
        </w:rPr>
        <w:t xml:space="preserve"> </w:t>
      </w:r>
      <w:r>
        <w:t>repaying the debt of</w:t>
      </w:r>
      <w:r>
        <w:rPr>
          <w:spacing w:val="-3"/>
        </w:rPr>
        <w:t xml:space="preserve"> </w:t>
      </w:r>
      <w:r>
        <w:t>the</w:t>
      </w:r>
      <w:r>
        <w:rPr>
          <w:spacing w:val="-5"/>
        </w:rPr>
        <w:t xml:space="preserve"> </w:t>
      </w:r>
      <w:r>
        <w:t>borrowing entity</w:t>
      </w:r>
      <w:r>
        <w:rPr>
          <w:spacing w:val="-2"/>
        </w:rPr>
        <w:t xml:space="preserve"> </w:t>
      </w:r>
      <w:r>
        <w:t>(Angeli, 2023). This technique is especially prevalent in group financing frameworks</w:t>
      </w:r>
      <w:r>
        <w:rPr>
          <w:spacing w:val="-3"/>
        </w:rPr>
        <w:t xml:space="preserve"> </w:t>
      </w:r>
      <w:r>
        <w:t>or project-based</w:t>
      </w:r>
      <w:r>
        <w:rPr>
          <w:spacing w:val="-4"/>
        </w:rPr>
        <w:t xml:space="preserve"> </w:t>
      </w:r>
      <w:r>
        <w:t>lending, because</w:t>
      </w:r>
      <w:r>
        <w:rPr>
          <w:spacing w:val="-5"/>
        </w:rPr>
        <w:t xml:space="preserve"> </w:t>
      </w:r>
      <w:r>
        <w:t>the borrowing firm is a special-purpose vehicle (SPV) with constrained assets (Ramos Muñoz &amp; Argachal, 2019). Corporate</w:t>
      </w:r>
      <w:r>
        <w:t xml:space="preserve"> guarantees are typically documented in writing and may necessitate permission from</w:t>
      </w:r>
      <w:r>
        <w:rPr>
          <w:spacing w:val="-1"/>
        </w:rPr>
        <w:t xml:space="preserve"> </w:t>
      </w:r>
      <w:r>
        <w:t>the board or shareholders, contingent</w:t>
      </w:r>
      <w:r>
        <w:rPr>
          <w:spacing w:val="40"/>
        </w:rPr>
        <w:t xml:space="preserve"> </w:t>
      </w:r>
      <w:r>
        <w:t>upon internal governance policies</w:t>
      </w:r>
      <w:r>
        <w:rPr>
          <w:spacing w:val="40"/>
        </w:rPr>
        <w:t xml:space="preserve"> </w:t>
      </w:r>
      <w:r>
        <w:t>and banking</w:t>
      </w:r>
      <w:r>
        <w:rPr>
          <w:spacing w:val="35"/>
        </w:rPr>
        <w:t xml:space="preserve"> </w:t>
      </w:r>
      <w:r>
        <w:t>legislation.</w:t>
      </w:r>
    </w:p>
    <w:p w:rsidR="00143FDB" w:rsidRDefault="006A44E3">
      <w:pPr>
        <w:pStyle w:val="BodyText"/>
        <w:spacing w:line="276" w:lineRule="auto"/>
        <w:ind w:right="55"/>
      </w:pPr>
      <w:r>
        <w:t>Personal guarantees provide a versatile and commonly recognized type of sec</w:t>
      </w:r>
      <w:r>
        <w:t>urity, particularly when combined with other collateral (Duarte et al., 2018).</w:t>
      </w:r>
      <w:r>
        <w:rPr>
          <w:spacing w:val="36"/>
        </w:rPr>
        <w:t xml:space="preserve"> </w:t>
      </w:r>
      <w:r>
        <w:t>However, in contrast to material guarantees, they do not bestow any in rem rights over assets and must therefore adhere to standard contractual enforcement protocols. In default</w:t>
      </w:r>
      <w:r>
        <w:t xml:space="preserve"> scenarios, the creditor is required to demonstrate the guarantor's liability</w:t>
      </w:r>
      <w:r>
        <w:rPr>
          <w:spacing w:val="35"/>
        </w:rPr>
        <w:t xml:space="preserve"> </w:t>
      </w:r>
      <w:r>
        <w:t>as</w:t>
      </w:r>
      <w:r>
        <w:rPr>
          <w:spacing w:val="-3"/>
        </w:rPr>
        <w:t xml:space="preserve"> </w:t>
      </w:r>
      <w:r>
        <w:t>stipulated in</w:t>
      </w:r>
      <w:r>
        <w:rPr>
          <w:spacing w:val="-12"/>
        </w:rPr>
        <w:t xml:space="preserve"> </w:t>
      </w:r>
      <w:r>
        <w:t>the</w:t>
      </w:r>
      <w:r>
        <w:rPr>
          <w:spacing w:val="-12"/>
        </w:rPr>
        <w:t xml:space="preserve"> </w:t>
      </w:r>
      <w:r>
        <w:t>guarantee,</w:t>
      </w:r>
      <w:r>
        <w:rPr>
          <w:spacing w:val="-14"/>
        </w:rPr>
        <w:t xml:space="preserve"> </w:t>
      </w:r>
      <w:r>
        <w:t>and</w:t>
      </w:r>
      <w:r>
        <w:rPr>
          <w:spacing w:val="-11"/>
        </w:rPr>
        <w:t xml:space="preserve"> </w:t>
      </w:r>
      <w:r>
        <w:t>enforcement</w:t>
      </w:r>
      <w:r>
        <w:rPr>
          <w:spacing w:val="-9"/>
        </w:rPr>
        <w:t xml:space="preserve"> </w:t>
      </w:r>
      <w:r>
        <w:t>may</w:t>
      </w:r>
      <w:r>
        <w:rPr>
          <w:spacing w:val="-14"/>
        </w:rPr>
        <w:t xml:space="preserve"> </w:t>
      </w:r>
      <w:r>
        <w:t>necessitate</w:t>
      </w:r>
      <w:r>
        <w:rPr>
          <w:spacing w:val="-10"/>
        </w:rPr>
        <w:t xml:space="preserve"> </w:t>
      </w:r>
      <w:r>
        <w:t>litigation</w:t>
      </w:r>
      <w:r>
        <w:rPr>
          <w:spacing w:val="-6"/>
        </w:rPr>
        <w:t xml:space="preserve"> </w:t>
      </w:r>
      <w:r>
        <w:t>or</w:t>
      </w:r>
      <w:r>
        <w:rPr>
          <w:spacing w:val="-13"/>
        </w:rPr>
        <w:t xml:space="preserve"> </w:t>
      </w:r>
      <w:r>
        <w:t>the</w:t>
      </w:r>
      <w:r>
        <w:rPr>
          <w:spacing w:val="-11"/>
        </w:rPr>
        <w:t xml:space="preserve"> </w:t>
      </w:r>
      <w:r>
        <w:t>execution</w:t>
      </w:r>
      <w:r>
        <w:rPr>
          <w:spacing w:val="-8"/>
        </w:rPr>
        <w:t xml:space="preserve"> </w:t>
      </w:r>
      <w:r>
        <w:t>of</w:t>
      </w:r>
      <w:r>
        <w:rPr>
          <w:spacing w:val="-11"/>
        </w:rPr>
        <w:t xml:space="preserve"> </w:t>
      </w:r>
      <w:r>
        <w:t>the</w:t>
      </w:r>
      <w:r>
        <w:rPr>
          <w:spacing w:val="-12"/>
        </w:rPr>
        <w:t xml:space="preserve"> </w:t>
      </w:r>
      <w:r>
        <w:t>guarantor's</w:t>
      </w:r>
      <w:r>
        <w:rPr>
          <w:spacing w:val="-11"/>
        </w:rPr>
        <w:t xml:space="preserve"> </w:t>
      </w:r>
      <w:r>
        <w:t>general</w:t>
      </w:r>
      <w:r>
        <w:rPr>
          <w:spacing w:val="-9"/>
        </w:rPr>
        <w:t xml:space="preserve"> </w:t>
      </w:r>
      <w:r>
        <w:t>assets in accordance with</w:t>
      </w:r>
      <w:r>
        <w:rPr>
          <w:spacing w:val="-13"/>
        </w:rPr>
        <w:t xml:space="preserve"> </w:t>
      </w:r>
      <w:r>
        <w:t>Articles 1131 and</w:t>
      </w:r>
      <w:r>
        <w:rPr>
          <w:spacing w:val="-11"/>
        </w:rPr>
        <w:t xml:space="preserve"> </w:t>
      </w:r>
      <w:r>
        <w:t>1132 of the Civil</w:t>
      </w:r>
      <w:r>
        <w:rPr>
          <w:spacing w:val="40"/>
        </w:rPr>
        <w:t xml:space="preserve"> </w:t>
      </w:r>
      <w:r>
        <w:t>Code (Indonesian Civil</w:t>
      </w:r>
      <w:r>
        <w:rPr>
          <w:spacing w:val="40"/>
        </w:rPr>
        <w:t xml:space="preserve"> </w:t>
      </w:r>
      <w:r>
        <w:t>Law,</w:t>
      </w:r>
      <w:r>
        <w:rPr>
          <w:spacing w:val="-16"/>
        </w:rPr>
        <w:t xml:space="preserve"> </w:t>
      </w:r>
      <w:r>
        <w:t>1847).</w:t>
      </w:r>
    </w:p>
    <w:p w:rsidR="00143FDB" w:rsidRDefault="006A44E3">
      <w:pPr>
        <w:pStyle w:val="BodyText"/>
        <w:spacing w:line="276" w:lineRule="auto"/>
        <w:ind w:right="69" w:firstLine="720"/>
      </w:pPr>
      <w:r>
        <w:t>The efficacy of personal and corporate guarantees is largely contingent upon the clarity of contractual provisions and the financial stability of the guarantor (Anggraeni &amp; Imanuddin, 2023). Inadequately</w:t>
      </w:r>
      <w:r>
        <w:t xml:space="preserve"> formulated guarantees or inadequate due diligence about the guarantor's capacity frequently lead to extended litigation and unpredictable results (Vučković, 2017). Consequently, numerous banks in Indonesia</w:t>
      </w:r>
      <w:r>
        <w:rPr>
          <w:spacing w:val="-11"/>
        </w:rPr>
        <w:t xml:space="preserve"> </w:t>
      </w:r>
      <w:r>
        <w:t>mandate</w:t>
      </w:r>
      <w:r>
        <w:rPr>
          <w:spacing w:val="-13"/>
        </w:rPr>
        <w:t xml:space="preserve"> </w:t>
      </w:r>
      <w:r>
        <w:t>legal</w:t>
      </w:r>
      <w:r>
        <w:rPr>
          <w:spacing w:val="-12"/>
        </w:rPr>
        <w:t xml:space="preserve"> </w:t>
      </w:r>
      <w:r>
        <w:t>opinions</w:t>
      </w:r>
      <w:r>
        <w:rPr>
          <w:spacing w:val="-14"/>
        </w:rPr>
        <w:t xml:space="preserve"> </w:t>
      </w:r>
      <w:r>
        <w:t>regarding</w:t>
      </w:r>
      <w:r>
        <w:rPr>
          <w:spacing w:val="-14"/>
        </w:rPr>
        <w:t xml:space="preserve"> </w:t>
      </w:r>
      <w:r>
        <w:t>enforceability</w:t>
      </w:r>
      <w:r>
        <w:rPr>
          <w:spacing w:val="-12"/>
        </w:rPr>
        <w:t xml:space="preserve"> </w:t>
      </w:r>
      <w:r>
        <w:t>a</w:t>
      </w:r>
      <w:r>
        <w:t>nd</w:t>
      </w:r>
      <w:r>
        <w:rPr>
          <w:spacing w:val="-14"/>
        </w:rPr>
        <w:t xml:space="preserve"> </w:t>
      </w:r>
      <w:r>
        <w:t>incorporate</w:t>
      </w:r>
      <w:r>
        <w:rPr>
          <w:spacing w:val="-9"/>
        </w:rPr>
        <w:t xml:space="preserve"> </w:t>
      </w:r>
      <w:r>
        <w:t>comprehensive</w:t>
      </w:r>
      <w:r>
        <w:rPr>
          <w:spacing w:val="-10"/>
        </w:rPr>
        <w:t xml:space="preserve"> </w:t>
      </w:r>
      <w:r>
        <w:t>clauses</w:t>
      </w:r>
      <w:r>
        <w:rPr>
          <w:spacing w:val="-13"/>
        </w:rPr>
        <w:t xml:space="preserve"> </w:t>
      </w:r>
      <w:r>
        <w:t>on</w:t>
      </w:r>
      <w:r>
        <w:rPr>
          <w:spacing w:val="-11"/>
        </w:rPr>
        <w:t xml:space="preserve"> </w:t>
      </w:r>
      <w:r>
        <w:t>waiver of</w:t>
      </w:r>
      <w:r>
        <w:rPr>
          <w:spacing w:val="-6"/>
        </w:rPr>
        <w:t xml:space="preserve"> </w:t>
      </w:r>
      <w:r>
        <w:t>defense,</w:t>
      </w:r>
      <w:r>
        <w:rPr>
          <w:spacing w:val="-18"/>
        </w:rPr>
        <w:t xml:space="preserve"> </w:t>
      </w:r>
      <w:r>
        <w:t>joint</w:t>
      </w:r>
      <w:r>
        <w:rPr>
          <w:spacing w:val="39"/>
        </w:rPr>
        <w:t xml:space="preserve"> </w:t>
      </w:r>
      <w:r>
        <w:t>and</w:t>
      </w:r>
      <w:r>
        <w:rPr>
          <w:spacing w:val="-12"/>
        </w:rPr>
        <w:t xml:space="preserve"> </w:t>
      </w:r>
      <w:r>
        <w:t>multiple</w:t>
      </w:r>
      <w:r>
        <w:rPr>
          <w:spacing w:val="40"/>
        </w:rPr>
        <w:t xml:space="preserve"> </w:t>
      </w:r>
      <w:r>
        <w:t>liability,</w:t>
      </w:r>
      <w:r>
        <w:rPr>
          <w:spacing w:val="40"/>
        </w:rPr>
        <w:t xml:space="preserve"> </w:t>
      </w:r>
      <w:r>
        <w:t>and</w:t>
      </w:r>
      <w:r>
        <w:rPr>
          <w:spacing w:val="-7"/>
        </w:rPr>
        <w:t xml:space="preserve"> </w:t>
      </w:r>
      <w:r>
        <w:t>jurisdiction</w:t>
      </w:r>
      <w:r>
        <w:rPr>
          <w:spacing w:val="40"/>
        </w:rPr>
        <w:t xml:space="preserve"> </w:t>
      </w:r>
      <w:r>
        <w:t>to</w:t>
      </w:r>
      <w:r>
        <w:rPr>
          <w:spacing w:val="-7"/>
        </w:rPr>
        <w:t xml:space="preserve"> </w:t>
      </w:r>
      <w:r>
        <w:t>avert</w:t>
      </w:r>
      <w:r>
        <w:rPr>
          <w:spacing w:val="-5"/>
        </w:rPr>
        <w:t xml:space="preserve"> </w:t>
      </w:r>
      <w:r>
        <w:t>execution impediments.</w:t>
      </w:r>
    </w:p>
    <w:p w:rsidR="00143FDB" w:rsidRDefault="006A44E3">
      <w:pPr>
        <w:pStyle w:val="BodyText"/>
        <w:spacing w:before="3" w:line="278" w:lineRule="auto"/>
        <w:ind w:right="65" w:firstLine="720"/>
      </w:pPr>
      <w:r>
        <w:t>While not superior to material guarantees for enforcement speed or creditor priority,</w:t>
      </w:r>
      <w:r>
        <w:rPr>
          <w:spacing w:val="39"/>
        </w:rPr>
        <w:t xml:space="preserve"> </w:t>
      </w:r>
      <w:r>
        <w:t>personal and corporate guarantee</w:t>
      </w:r>
      <w:r>
        <w:t>s are essential in contexts involving</w:t>
      </w:r>
      <w:r>
        <w:rPr>
          <w:spacing w:val="36"/>
        </w:rPr>
        <w:t xml:space="preserve"> </w:t>
      </w:r>
      <w:r>
        <w:t>intangible</w:t>
      </w:r>
      <w:r>
        <w:rPr>
          <w:spacing w:val="35"/>
        </w:rPr>
        <w:t xml:space="preserve"> </w:t>
      </w:r>
      <w:r>
        <w:t>assets, start-up finance, or relationship- based</w:t>
      </w:r>
      <w:r>
        <w:rPr>
          <w:spacing w:val="-18"/>
        </w:rPr>
        <w:t xml:space="preserve"> </w:t>
      </w:r>
      <w:r>
        <w:t>lending. Their</w:t>
      </w:r>
      <w:r>
        <w:rPr>
          <w:spacing w:val="-7"/>
        </w:rPr>
        <w:t xml:space="preserve"> </w:t>
      </w:r>
      <w:r>
        <w:t>utilization</w:t>
      </w:r>
      <w:r>
        <w:rPr>
          <w:spacing w:val="40"/>
        </w:rPr>
        <w:t xml:space="preserve"> </w:t>
      </w:r>
      <w:r>
        <w:t>illustrates</w:t>
      </w:r>
      <w:r>
        <w:rPr>
          <w:spacing w:val="16"/>
        </w:rPr>
        <w:t xml:space="preserve"> </w:t>
      </w:r>
      <w:r>
        <w:t>the</w:t>
      </w:r>
      <w:r>
        <w:rPr>
          <w:spacing w:val="-15"/>
        </w:rPr>
        <w:t xml:space="preserve"> </w:t>
      </w:r>
      <w:r>
        <w:t>increasing</w:t>
      </w:r>
      <w:r>
        <w:rPr>
          <w:spacing w:val="-5"/>
        </w:rPr>
        <w:t xml:space="preserve"> </w:t>
      </w:r>
      <w:r>
        <w:t>intricacy</w:t>
      </w:r>
      <w:r>
        <w:rPr>
          <w:spacing w:val="-4"/>
        </w:rPr>
        <w:t xml:space="preserve"> </w:t>
      </w:r>
      <w:r>
        <w:t>of</w:t>
      </w:r>
      <w:r>
        <w:rPr>
          <w:spacing w:val="-9"/>
        </w:rPr>
        <w:t xml:space="preserve"> </w:t>
      </w:r>
      <w:r>
        <w:t>credit</w:t>
      </w:r>
      <w:r>
        <w:rPr>
          <w:spacing w:val="-11"/>
        </w:rPr>
        <w:t xml:space="preserve"> </w:t>
      </w:r>
      <w:r>
        <w:t>frameworks</w:t>
      </w:r>
      <w:r>
        <w:rPr>
          <w:spacing w:val="-12"/>
        </w:rPr>
        <w:t xml:space="preserve"> </w:t>
      </w:r>
      <w:r>
        <w:t>in</w:t>
      </w:r>
      <w:r>
        <w:rPr>
          <w:spacing w:val="-3"/>
        </w:rPr>
        <w:t xml:space="preserve"> </w:t>
      </w:r>
      <w:r>
        <w:t>Indonesia,</w:t>
      </w:r>
      <w:r>
        <w:rPr>
          <w:spacing w:val="-5"/>
        </w:rPr>
        <w:t xml:space="preserve"> </w:t>
      </w:r>
      <w:r>
        <w:t>where</w:t>
      </w:r>
    </w:p>
    <w:p w:rsidR="00143FDB" w:rsidRDefault="00143FDB">
      <w:pPr>
        <w:pStyle w:val="BodyText"/>
        <w:spacing w:line="278" w:lineRule="auto"/>
        <w:sectPr w:rsidR="00143FDB">
          <w:pgSz w:w="11920" w:h="16860"/>
          <w:pgMar w:top="1460" w:right="1133" w:bottom="2020" w:left="1133" w:header="282" w:footer="1831" w:gutter="0"/>
          <w:cols w:space="720"/>
        </w:sectPr>
      </w:pPr>
    </w:p>
    <w:p w:rsidR="00143FDB" w:rsidRDefault="006A44E3">
      <w:pPr>
        <w:pStyle w:val="BodyText"/>
        <w:spacing w:before="81" w:line="271" w:lineRule="auto"/>
        <w:jc w:val="left"/>
      </w:pPr>
      <w:r>
        <w:lastRenderedPageBreak/>
        <w:t>legal</w:t>
      </w:r>
      <w:r>
        <w:rPr>
          <w:spacing w:val="21"/>
        </w:rPr>
        <w:t xml:space="preserve"> </w:t>
      </w:r>
      <w:r>
        <w:t>strategy</w:t>
      </w:r>
      <w:r>
        <w:rPr>
          <w:spacing w:val="-9"/>
        </w:rPr>
        <w:t xml:space="preserve"> </w:t>
      </w:r>
      <w:r>
        <w:t>must</w:t>
      </w:r>
      <w:r>
        <w:rPr>
          <w:spacing w:val="21"/>
        </w:rPr>
        <w:t xml:space="preserve"> </w:t>
      </w:r>
      <w:r>
        <w:t>reconcile</w:t>
      </w:r>
      <w:r>
        <w:rPr>
          <w:spacing w:val="29"/>
        </w:rPr>
        <w:t xml:space="preserve"> </w:t>
      </w:r>
      <w:r>
        <w:t>asset-based</w:t>
      </w:r>
      <w:r>
        <w:rPr>
          <w:spacing w:val="-5"/>
        </w:rPr>
        <w:t xml:space="preserve"> </w:t>
      </w:r>
      <w:r>
        <w:t>and</w:t>
      </w:r>
      <w:r>
        <w:rPr>
          <w:spacing w:val="-3"/>
        </w:rPr>
        <w:t xml:space="preserve"> </w:t>
      </w:r>
      <w:r>
        <w:t>relationship-based</w:t>
      </w:r>
      <w:r>
        <w:rPr>
          <w:spacing w:val="-3"/>
        </w:rPr>
        <w:t xml:space="preserve"> </w:t>
      </w:r>
      <w:r>
        <w:t>risk</w:t>
      </w:r>
      <w:r>
        <w:rPr>
          <w:spacing w:val="-5"/>
        </w:rPr>
        <w:t xml:space="preserve"> </w:t>
      </w:r>
      <w:r>
        <w:t>management.</w:t>
      </w:r>
      <w:r>
        <w:rPr>
          <w:spacing w:val="29"/>
        </w:rPr>
        <w:t xml:space="preserve"> </w:t>
      </w:r>
      <w:r>
        <w:t>Consequently,</w:t>
      </w:r>
      <w:r>
        <w:rPr>
          <w:spacing w:val="-3"/>
        </w:rPr>
        <w:t xml:space="preserve"> </w:t>
      </w:r>
      <w:r>
        <w:t>human guarantees</w:t>
      </w:r>
      <w:r>
        <w:rPr>
          <w:spacing w:val="-3"/>
        </w:rPr>
        <w:t xml:space="preserve"> </w:t>
      </w:r>
      <w:r>
        <w:t>augment tangible</w:t>
      </w:r>
      <w:r>
        <w:rPr>
          <w:spacing w:val="40"/>
        </w:rPr>
        <w:t xml:space="preserve"> </w:t>
      </w:r>
      <w:r>
        <w:t>collateral to</w:t>
      </w:r>
      <w:r>
        <w:rPr>
          <w:spacing w:val="-1"/>
        </w:rPr>
        <w:t xml:space="preserve"> </w:t>
      </w:r>
      <w:r>
        <w:t>establish a multifaceted protective framework</w:t>
      </w:r>
      <w:r>
        <w:rPr>
          <w:spacing w:val="-13"/>
        </w:rPr>
        <w:t xml:space="preserve"> </w:t>
      </w:r>
      <w:r>
        <w:t>under credit law.</w:t>
      </w:r>
    </w:p>
    <w:p w:rsidR="00143FDB" w:rsidRDefault="00143FDB">
      <w:pPr>
        <w:pStyle w:val="BodyText"/>
        <w:spacing w:before="66"/>
        <w:ind w:left="0"/>
        <w:jc w:val="left"/>
      </w:pPr>
    </w:p>
    <w:p w:rsidR="00143FDB" w:rsidRDefault="006A44E3">
      <w:pPr>
        <w:pStyle w:val="Heading3"/>
        <w:numPr>
          <w:ilvl w:val="1"/>
          <w:numId w:val="1"/>
        </w:numPr>
        <w:tabs>
          <w:tab w:val="left" w:pos="456"/>
        </w:tabs>
        <w:ind w:left="456" w:hanging="343"/>
        <w:jc w:val="both"/>
      </w:pPr>
      <w:r>
        <w:t>Object-Based</w:t>
      </w:r>
      <w:r>
        <w:rPr>
          <w:spacing w:val="-16"/>
        </w:rPr>
        <w:t xml:space="preserve"> </w:t>
      </w:r>
      <w:r>
        <w:t>Enforcement:</w:t>
      </w:r>
      <w:r>
        <w:rPr>
          <w:spacing w:val="-17"/>
        </w:rPr>
        <w:t xml:space="preserve"> </w:t>
      </w:r>
      <w:r>
        <w:t>Movable and</w:t>
      </w:r>
      <w:r>
        <w:rPr>
          <w:spacing w:val="-12"/>
        </w:rPr>
        <w:t xml:space="preserve"> </w:t>
      </w:r>
      <w:r>
        <w:t>Immovable</w:t>
      </w:r>
      <w:r>
        <w:rPr>
          <w:spacing w:val="18"/>
        </w:rPr>
        <w:t xml:space="preserve"> </w:t>
      </w:r>
      <w:r>
        <w:rPr>
          <w:spacing w:val="-2"/>
        </w:rPr>
        <w:t>Assets</w:t>
      </w:r>
    </w:p>
    <w:p w:rsidR="00143FDB" w:rsidRDefault="006A44E3">
      <w:pPr>
        <w:pStyle w:val="BodyText"/>
        <w:spacing w:before="11" w:line="276" w:lineRule="auto"/>
        <w:ind w:right="60" w:firstLine="720"/>
      </w:pPr>
      <w:r>
        <w:t>The</w:t>
      </w:r>
      <w:r>
        <w:rPr>
          <w:spacing w:val="-14"/>
        </w:rPr>
        <w:t xml:space="preserve"> </w:t>
      </w:r>
      <w:r>
        <w:t>categorization</w:t>
      </w:r>
      <w:r>
        <w:rPr>
          <w:spacing w:val="-14"/>
        </w:rPr>
        <w:t xml:space="preserve"> </w:t>
      </w:r>
      <w:r>
        <w:t>of</w:t>
      </w:r>
      <w:r>
        <w:rPr>
          <w:spacing w:val="-11"/>
        </w:rPr>
        <w:t xml:space="preserve"> </w:t>
      </w:r>
      <w:r>
        <w:t>collateral</w:t>
      </w:r>
      <w:r>
        <w:rPr>
          <w:spacing w:val="-12"/>
        </w:rPr>
        <w:t xml:space="preserve"> </w:t>
      </w:r>
      <w:r>
        <w:t>into</w:t>
      </w:r>
      <w:r>
        <w:rPr>
          <w:spacing w:val="-13"/>
        </w:rPr>
        <w:t xml:space="preserve"> </w:t>
      </w:r>
      <w:r>
        <w:t>moveable</w:t>
      </w:r>
      <w:r>
        <w:rPr>
          <w:spacing w:val="-12"/>
        </w:rPr>
        <w:t xml:space="preserve"> </w:t>
      </w:r>
      <w:r>
        <w:t>and</w:t>
      </w:r>
      <w:r>
        <w:rPr>
          <w:spacing w:val="-14"/>
        </w:rPr>
        <w:t xml:space="preserve"> </w:t>
      </w:r>
      <w:r>
        <w:t>immovable</w:t>
      </w:r>
      <w:r>
        <w:rPr>
          <w:spacing w:val="13"/>
        </w:rPr>
        <w:t xml:space="preserve"> </w:t>
      </w:r>
      <w:r>
        <w:t>assets</w:t>
      </w:r>
      <w:r>
        <w:rPr>
          <w:spacing w:val="-12"/>
        </w:rPr>
        <w:t xml:space="preserve"> </w:t>
      </w:r>
      <w:r>
        <w:t>is</w:t>
      </w:r>
      <w:r>
        <w:rPr>
          <w:spacing w:val="-14"/>
        </w:rPr>
        <w:t xml:space="preserve"> </w:t>
      </w:r>
      <w:r>
        <w:t>essential</w:t>
      </w:r>
      <w:r>
        <w:rPr>
          <w:spacing w:val="-10"/>
        </w:rPr>
        <w:t xml:space="preserve"> </w:t>
      </w:r>
      <w:r>
        <w:t>for</w:t>
      </w:r>
      <w:r>
        <w:rPr>
          <w:spacing w:val="-12"/>
        </w:rPr>
        <w:t xml:space="preserve"> </w:t>
      </w:r>
      <w:r>
        <w:t>the</w:t>
      </w:r>
      <w:r>
        <w:rPr>
          <w:spacing w:val="-12"/>
        </w:rPr>
        <w:t xml:space="preserve"> </w:t>
      </w:r>
      <w:r>
        <w:t>enforcement of credit guarantees under Indonesian law (Wulandari et al., 2024). This dichotomy dictates the relevant legal</w:t>
      </w:r>
      <w:r>
        <w:rPr>
          <w:spacing w:val="-7"/>
        </w:rPr>
        <w:t xml:space="preserve"> </w:t>
      </w:r>
      <w:r>
        <w:t>framework,</w:t>
      </w:r>
      <w:r>
        <w:rPr>
          <w:spacing w:val="-8"/>
        </w:rPr>
        <w:t xml:space="preserve"> </w:t>
      </w:r>
      <w:r>
        <w:t>enforcement</w:t>
      </w:r>
      <w:r>
        <w:rPr>
          <w:spacing w:val="-6"/>
        </w:rPr>
        <w:t xml:space="preserve"> </w:t>
      </w:r>
      <w:r>
        <w:t>method,</w:t>
      </w:r>
      <w:r>
        <w:rPr>
          <w:spacing w:val="-2"/>
        </w:rPr>
        <w:t xml:space="preserve"> </w:t>
      </w:r>
      <w:r>
        <w:t>and</w:t>
      </w:r>
      <w:r>
        <w:rPr>
          <w:spacing w:val="-6"/>
        </w:rPr>
        <w:t xml:space="preserve"> </w:t>
      </w:r>
      <w:r>
        <w:t>procedural</w:t>
      </w:r>
      <w:r>
        <w:rPr>
          <w:spacing w:val="-8"/>
        </w:rPr>
        <w:t xml:space="preserve"> </w:t>
      </w:r>
      <w:r>
        <w:t>formalities</w:t>
      </w:r>
      <w:r>
        <w:rPr>
          <w:spacing w:val="24"/>
        </w:rPr>
        <w:t xml:space="preserve"> </w:t>
      </w:r>
      <w:r>
        <w:t>necessary</w:t>
      </w:r>
      <w:r>
        <w:rPr>
          <w:spacing w:val="-9"/>
        </w:rPr>
        <w:t xml:space="preserve"> </w:t>
      </w:r>
      <w:r>
        <w:t>to</w:t>
      </w:r>
      <w:r>
        <w:rPr>
          <w:spacing w:val="-8"/>
        </w:rPr>
        <w:t xml:space="preserve"> </w:t>
      </w:r>
      <w:r>
        <w:t>establish</w:t>
      </w:r>
      <w:r>
        <w:rPr>
          <w:spacing w:val="-2"/>
        </w:rPr>
        <w:t xml:space="preserve"> </w:t>
      </w:r>
      <w:r>
        <w:t>and</w:t>
      </w:r>
      <w:r>
        <w:rPr>
          <w:spacing w:val="-6"/>
        </w:rPr>
        <w:t xml:space="preserve"> </w:t>
      </w:r>
      <w:r>
        <w:t>implement the assurance. Immovable assets, including</w:t>
      </w:r>
      <w:r>
        <w:rPr>
          <w:spacing w:val="35"/>
        </w:rPr>
        <w:t xml:space="preserve"> </w:t>
      </w:r>
      <w:r>
        <w:t>land and buildings,</w:t>
      </w:r>
      <w:r>
        <w:rPr>
          <w:spacing w:val="38"/>
        </w:rPr>
        <w:t xml:space="preserve"> </w:t>
      </w:r>
      <w:r>
        <w:t>are generally secured by mortgage rights (</w:t>
      </w:r>
      <w:r>
        <w:rPr>
          <w:i/>
        </w:rPr>
        <w:t>hak tanggungan</w:t>
      </w:r>
      <w:r>
        <w:t>),</w:t>
      </w:r>
      <w:r>
        <w:rPr>
          <w:spacing w:val="-7"/>
        </w:rPr>
        <w:t xml:space="preserve"> </w:t>
      </w:r>
      <w:r>
        <w:t>whereas</w:t>
      </w:r>
      <w:r>
        <w:rPr>
          <w:spacing w:val="-6"/>
        </w:rPr>
        <w:t xml:space="preserve"> </w:t>
      </w:r>
      <w:r>
        <w:t>movable</w:t>
      </w:r>
      <w:r>
        <w:rPr>
          <w:spacing w:val="-8"/>
        </w:rPr>
        <w:t xml:space="preserve"> </w:t>
      </w:r>
      <w:r>
        <w:t>assets,</w:t>
      </w:r>
      <w:r>
        <w:rPr>
          <w:spacing w:val="-6"/>
        </w:rPr>
        <w:t xml:space="preserve"> </w:t>
      </w:r>
      <w:r>
        <w:t>such as goods,</w:t>
      </w:r>
      <w:r>
        <w:rPr>
          <w:spacing w:val="-4"/>
        </w:rPr>
        <w:t xml:space="preserve"> </w:t>
      </w:r>
      <w:r>
        <w:t>vehicles,</w:t>
      </w:r>
      <w:r>
        <w:rPr>
          <w:spacing w:val="-4"/>
        </w:rPr>
        <w:t xml:space="preserve"> </w:t>
      </w:r>
      <w:r>
        <w:t>or machinery,</w:t>
      </w:r>
      <w:r>
        <w:rPr>
          <w:spacing w:val="-3"/>
        </w:rPr>
        <w:t xml:space="preserve"> </w:t>
      </w:r>
      <w:r>
        <w:t>are secured</w:t>
      </w:r>
      <w:r>
        <w:rPr>
          <w:spacing w:val="-1"/>
        </w:rPr>
        <w:t xml:space="preserve"> </w:t>
      </w:r>
      <w:r>
        <w:t>through fiduciary tran</w:t>
      </w:r>
      <w:r>
        <w:t>sfer (</w:t>
      </w:r>
      <w:r>
        <w:rPr>
          <w:i/>
        </w:rPr>
        <w:t>fidusia</w:t>
      </w:r>
      <w:r>
        <w:t>) or pledge (</w:t>
      </w:r>
      <w:r>
        <w:rPr>
          <w:i/>
        </w:rPr>
        <w:t>gadai</w:t>
      </w:r>
      <w:r>
        <w:t>).</w:t>
      </w:r>
    </w:p>
    <w:p w:rsidR="00143FDB" w:rsidRDefault="006A44E3">
      <w:pPr>
        <w:pStyle w:val="BodyText"/>
        <w:spacing w:before="13" w:line="276" w:lineRule="auto"/>
        <w:ind w:right="60" w:firstLine="720"/>
      </w:pPr>
      <w:r>
        <w:t>The enforcement of guarantees on immovable property necessitates adherence to the procedural stipulations</w:t>
      </w:r>
      <w:r>
        <w:rPr>
          <w:spacing w:val="36"/>
        </w:rPr>
        <w:t xml:space="preserve"> </w:t>
      </w:r>
      <w:r>
        <w:t>outlined</w:t>
      </w:r>
      <w:r>
        <w:rPr>
          <w:spacing w:val="36"/>
        </w:rPr>
        <w:t xml:space="preserve"> </w:t>
      </w:r>
      <w:r>
        <w:t>in Law No. 4 of 1996, which mandates the notarization</w:t>
      </w:r>
      <w:r>
        <w:rPr>
          <w:spacing w:val="39"/>
        </w:rPr>
        <w:t xml:space="preserve"> </w:t>
      </w:r>
      <w:r>
        <w:t>of the mortgage deed</w:t>
      </w:r>
      <w:r>
        <w:rPr>
          <w:spacing w:val="-1"/>
        </w:rPr>
        <w:t xml:space="preserve"> </w:t>
      </w:r>
      <w:r>
        <w:t>and</w:t>
      </w:r>
      <w:r>
        <w:rPr>
          <w:spacing w:val="-2"/>
        </w:rPr>
        <w:t xml:space="preserve"> </w:t>
      </w:r>
      <w:r>
        <w:t>its registration</w:t>
      </w:r>
      <w:r>
        <w:rPr>
          <w:spacing w:val="-13"/>
        </w:rPr>
        <w:t xml:space="preserve"> </w:t>
      </w:r>
      <w:r>
        <w:t>at</w:t>
      </w:r>
      <w:r>
        <w:rPr>
          <w:spacing w:val="-12"/>
        </w:rPr>
        <w:t xml:space="preserve"> </w:t>
      </w:r>
      <w:r>
        <w:t>the</w:t>
      </w:r>
      <w:r>
        <w:rPr>
          <w:spacing w:val="-13"/>
        </w:rPr>
        <w:t xml:space="preserve"> </w:t>
      </w:r>
      <w:r>
        <w:t>Land</w:t>
      </w:r>
      <w:r>
        <w:rPr>
          <w:spacing w:val="-11"/>
        </w:rPr>
        <w:t xml:space="preserve"> </w:t>
      </w:r>
      <w:r>
        <w:t>Registry</w:t>
      </w:r>
      <w:r>
        <w:rPr>
          <w:spacing w:val="-14"/>
        </w:rPr>
        <w:t xml:space="preserve"> </w:t>
      </w:r>
      <w:r>
        <w:t>Office</w:t>
      </w:r>
      <w:r>
        <w:rPr>
          <w:spacing w:val="-12"/>
        </w:rPr>
        <w:t xml:space="preserve"> </w:t>
      </w:r>
      <w:r>
        <w:t>(Sagala</w:t>
      </w:r>
      <w:r>
        <w:rPr>
          <w:spacing w:val="-12"/>
        </w:rPr>
        <w:t xml:space="preserve"> </w:t>
      </w:r>
      <w:r>
        <w:t>&amp;</w:t>
      </w:r>
      <w:r>
        <w:rPr>
          <w:spacing w:val="-14"/>
        </w:rPr>
        <w:t xml:space="preserve"> </w:t>
      </w:r>
      <w:r>
        <w:t>Tampubolon,</w:t>
      </w:r>
      <w:r>
        <w:rPr>
          <w:spacing w:val="-13"/>
        </w:rPr>
        <w:t xml:space="preserve"> </w:t>
      </w:r>
      <w:r>
        <w:t>2021).</w:t>
      </w:r>
      <w:r>
        <w:rPr>
          <w:spacing w:val="-8"/>
        </w:rPr>
        <w:t xml:space="preserve"> </w:t>
      </w:r>
      <w:r>
        <w:t>In</w:t>
      </w:r>
      <w:r>
        <w:rPr>
          <w:spacing w:val="-13"/>
        </w:rPr>
        <w:t xml:space="preserve"> </w:t>
      </w:r>
      <w:r>
        <w:t>the</w:t>
      </w:r>
      <w:r>
        <w:rPr>
          <w:spacing w:val="-10"/>
        </w:rPr>
        <w:t xml:space="preserve"> </w:t>
      </w:r>
      <w:r>
        <w:t>event</w:t>
      </w:r>
      <w:r>
        <w:rPr>
          <w:spacing w:val="-14"/>
        </w:rPr>
        <w:t xml:space="preserve"> </w:t>
      </w:r>
      <w:r>
        <w:t>of</w:t>
      </w:r>
      <w:r>
        <w:rPr>
          <w:spacing w:val="-12"/>
        </w:rPr>
        <w:t xml:space="preserve"> </w:t>
      </w:r>
      <w:r>
        <w:t>default,</w:t>
      </w:r>
      <w:r>
        <w:rPr>
          <w:spacing w:val="-4"/>
        </w:rPr>
        <w:t xml:space="preserve"> </w:t>
      </w:r>
      <w:r>
        <w:t>the</w:t>
      </w:r>
      <w:r>
        <w:rPr>
          <w:spacing w:val="-12"/>
        </w:rPr>
        <w:t xml:space="preserve"> </w:t>
      </w:r>
      <w:r>
        <w:t>mortgagee possesses</w:t>
      </w:r>
      <w:r>
        <w:rPr>
          <w:spacing w:val="-3"/>
        </w:rPr>
        <w:t xml:space="preserve"> </w:t>
      </w:r>
      <w:r>
        <w:t>the legal authority to commence a public auction without additional judicial</w:t>
      </w:r>
      <w:r>
        <w:rPr>
          <w:spacing w:val="35"/>
        </w:rPr>
        <w:t xml:space="preserve"> </w:t>
      </w:r>
      <w:r>
        <w:t>consent,</w:t>
      </w:r>
      <w:r>
        <w:rPr>
          <w:spacing w:val="-8"/>
        </w:rPr>
        <w:t xml:space="preserve"> </w:t>
      </w:r>
      <w:r>
        <w:t>contingent upon the correct perfection of the mortgage (Febrianto &amp; Ayunda, 2019). his procedure demonstrates the precedence</w:t>
      </w:r>
      <w:r>
        <w:rPr>
          <w:spacing w:val="-5"/>
        </w:rPr>
        <w:t xml:space="preserve"> </w:t>
      </w:r>
      <w:r>
        <w:t>and</w:t>
      </w:r>
      <w:r>
        <w:rPr>
          <w:spacing w:val="-6"/>
        </w:rPr>
        <w:t xml:space="preserve"> </w:t>
      </w:r>
      <w:r>
        <w:t>self-enforcing</w:t>
      </w:r>
      <w:r>
        <w:rPr>
          <w:spacing w:val="-3"/>
        </w:rPr>
        <w:t xml:space="preserve"> </w:t>
      </w:r>
      <w:r>
        <w:t>characteristics</w:t>
      </w:r>
      <w:r>
        <w:rPr>
          <w:spacing w:val="-5"/>
        </w:rPr>
        <w:t xml:space="preserve"> </w:t>
      </w:r>
      <w:r>
        <w:t>of</w:t>
      </w:r>
      <w:r>
        <w:rPr>
          <w:spacing w:val="-1"/>
        </w:rPr>
        <w:t xml:space="preserve"> </w:t>
      </w:r>
      <w:r>
        <w:t>mortgage rights, providing</w:t>
      </w:r>
      <w:r>
        <w:rPr>
          <w:spacing w:val="26"/>
        </w:rPr>
        <w:t xml:space="preserve"> </w:t>
      </w:r>
      <w:r>
        <w:t>expediency</w:t>
      </w:r>
      <w:r>
        <w:rPr>
          <w:spacing w:val="-2"/>
        </w:rPr>
        <w:t xml:space="preserve"> </w:t>
      </w:r>
      <w:r>
        <w:t>and</w:t>
      </w:r>
      <w:r>
        <w:rPr>
          <w:spacing w:val="-3"/>
        </w:rPr>
        <w:t xml:space="preserve"> </w:t>
      </w:r>
      <w:r>
        <w:t>legal assurance in the recovery of delinquent</w:t>
      </w:r>
      <w:r>
        <w:rPr>
          <w:spacing w:val="40"/>
        </w:rPr>
        <w:t xml:space="preserve"> </w:t>
      </w:r>
      <w:r>
        <w:t>bills</w:t>
      </w:r>
      <w:r>
        <w:t>.</w:t>
      </w:r>
    </w:p>
    <w:p w:rsidR="00143FDB" w:rsidRDefault="006A44E3">
      <w:pPr>
        <w:pStyle w:val="BodyText"/>
        <w:spacing w:line="276" w:lineRule="auto"/>
        <w:ind w:right="53" w:firstLine="720"/>
      </w:pPr>
      <w:r>
        <w:t>Conversely, the fiduciary framework established by Law No. 42 of 1999 permits non-possessory security</w:t>
      </w:r>
      <w:r>
        <w:rPr>
          <w:spacing w:val="-14"/>
        </w:rPr>
        <w:t xml:space="preserve"> </w:t>
      </w:r>
      <w:r>
        <w:t>interests</w:t>
      </w:r>
      <w:r>
        <w:rPr>
          <w:spacing w:val="-11"/>
        </w:rPr>
        <w:t xml:space="preserve"> </w:t>
      </w:r>
      <w:r>
        <w:t>in</w:t>
      </w:r>
      <w:r>
        <w:rPr>
          <w:spacing w:val="-12"/>
        </w:rPr>
        <w:t xml:space="preserve"> </w:t>
      </w:r>
      <w:r>
        <w:t>movable</w:t>
      </w:r>
      <w:r>
        <w:rPr>
          <w:spacing w:val="-11"/>
        </w:rPr>
        <w:t xml:space="preserve"> </w:t>
      </w:r>
      <w:r>
        <w:t>assets,</w:t>
      </w:r>
      <w:r>
        <w:rPr>
          <w:spacing w:val="-11"/>
        </w:rPr>
        <w:t xml:space="preserve"> </w:t>
      </w:r>
      <w:r>
        <w:t>allowing</w:t>
      </w:r>
      <w:r>
        <w:rPr>
          <w:spacing w:val="-14"/>
        </w:rPr>
        <w:t xml:space="preserve"> </w:t>
      </w:r>
      <w:r>
        <w:t>debtors</w:t>
      </w:r>
      <w:r>
        <w:rPr>
          <w:spacing w:val="-13"/>
        </w:rPr>
        <w:t xml:space="preserve"> </w:t>
      </w:r>
      <w:r>
        <w:t>to</w:t>
      </w:r>
      <w:r>
        <w:rPr>
          <w:spacing w:val="-14"/>
        </w:rPr>
        <w:t xml:space="preserve"> </w:t>
      </w:r>
      <w:r>
        <w:t>maintain</w:t>
      </w:r>
      <w:r>
        <w:rPr>
          <w:spacing w:val="-4"/>
        </w:rPr>
        <w:t xml:space="preserve"> </w:t>
      </w:r>
      <w:r>
        <w:t>possession</w:t>
      </w:r>
      <w:r>
        <w:rPr>
          <w:spacing w:val="-11"/>
        </w:rPr>
        <w:t xml:space="preserve"> </w:t>
      </w:r>
      <w:r>
        <w:t>of</w:t>
      </w:r>
      <w:r>
        <w:rPr>
          <w:spacing w:val="-11"/>
        </w:rPr>
        <w:t xml:space="preserve"> </w:t>
      </w:r>
      <w:r>
        <w:t>the</w:t>
      </w:r>
      <w:r>
        <w:rPr>
          <w:spacing w:val="-14"/>
        </w:rPr>
        <w:t xml:space="preserve"> </w:t>
      </w:r>
      <w:r>
        <w:t>property</w:t>
      </w:r>
      <w:r>
        <w:rPr>
          <w:spacing w:val="-13"/>
        </w:rPr>
        <w:t xml:space="preserve"> </w:t>
      </w:r>
      <w:r>
        <w:t>while</w:t>
      </w:r>
      <w:r>
        <w:rPr>
          <w:spacing w:val="-6"/>
        </w:rPr>
        <w:t xml:space="preserve"> </w:t>
      </w:r>
      <w:r>
        <w:t>conferring security rights to creditors (Susanti &amp; Imanullah,</w:t>
      </w:r>
      <w:r>
        <w:t xml:space="preserve"> 2019). Fiduciary agreements must be registered with the Fiduciary Registry to attain legal enforceability;</w:t>
      </w:r>
      <w:r>
        <w:rPr>
          <w:spacing w:val="40"/>
        </w:rPr>
        <w:t xml:space="preserve"> </w:t>
      </w:r>
      <w:r>
        <w:t>in cases of default, creditors may pursue executorial title execution akin to mortgages (Badriyah et al., 2021; Heriawanto, 2019). The legal framewo</w:t>
      </w:r>
      <w:r>
        <w:t>rk aims to reconcile debtor autonomy and asset</w:t>
      </w:r>
      <w:r>
        <w:rPr>
          <w:spacing w:val="-5"/>
        </w:rPr>
        <w:t xml:space="preserve"> </w:t>
      </w:r>
      <w:r>
        <w:t>utilization</w:t>
      </w:r>
      <w:r>
        <w:rPr>
          <w:spacing w:val="40"/>
        </w:rPr>
        <w:t xml:space="preserve"> </w:t>
      </w:r>
      <w:r>
        <w:t>with the enforceability</w:t>
      </w:r>
      <w:r>
        <w:rPr>
          <w:spacing w:val="39"/>
        </w:rPr>
        <w:t xml:space="preserve"> </w:t>
      </w:r>
      <w:r>
        <w:t>of security interests.</w:t>
      </w:r>
    </w:p>
    <w:p w:rsidR="00143FDB" w:rsidRDefault="006A44E3">
      <w:pPr>
        <w:pStyle w:val="BodyText"/>
        <w:spacing w:before="2" w:line="273" w:lineRule="auto"/>
        <w:ind w:right="70" w:firstLine="720"/>
      </w:pPr>
      <w:r>
        <w:t>To establish a security interest in pledges, the movable object must be delivered to the creditor (Ntsoane,</w:t>
      </w:r>
      <w:r>
        <w:rPr>
          <w:spacing w:val="-16"/>
        </w:rPr>
        <w:t xml:space="preserve"> </w:t>
      </w:r>
      <w:r>
        <w:t>2018).</w:t>
      </w:r>
      <w:r>
        <w:rPr>
          <w:spacing w:val="-14"/>
        </w:rPr>
        <w:t xml:space="preserve"> </w:t>
      </w:r>
      <w:r>
        <w:t>This</w:t>
      </w:r>
      <w:r>
        <w:rPr>
          <w:spacing w:val="-14"/>
        </w:rPr>
        <w:t xml:space="preserve"> </w:t>
      </w:r>
      <w:r>
        <w:t>strategy,</w:t>
      </w:r>
      <w:r>
        <w:rPr>
          <w:spacing w:val="-13"/>
        </w:rPr>
        <w:t xml:space="preserve"> </w:t>
      </w:r>
      <w:r>
        <w:t>although</w:t>
      </w:r>
      <w:r>
        <w:rPr>
          <w:spacing w:val="-14"/>
        </w:rPr>
        <w:t xml:space="preserve"> </w:t>
      </w:r>
      <w:r>
        <w:t>legally</w:t>
      </w:r>
      <w:r>
        <w:rPr>
          <w:spacing w:val="-14"/>
        </w:rPr>
        <w:t xml:space="preserve"> </w:t>
      </w:r>
      <w:r>
        <w:t>uncomplicated,</w:t>
      </w:r>
      <w:r>
        <w:rPr>
          <w:spacing w:val="-14"/>
        </w:rPr>
        <w:t xml:space="preserve"> </w:t>
      </w:r>
      <w:r>
        <w:t>restricts</w:t>
      </w:r>
      <w:r>
        <w:rPr>
          <w:spacing w:val="-13"/>
        </w:rPr>
        <w:t xml:space="preserve"> </w:t>
      </w:r>
      <w:r>
        <w:t>practical</w:t>
      </w:r>
      <w:r>
        <w:rPr>
          <w:spacing w:val="-14"/>
        </w:rPr>
        <w:t xml:space="preserve"> </w:t>
      </w:r>
      <w:r>
        <w:t>use</w:t>
      </w:r>
      <w:r>
        <w:rPr>
          <w:spacing w:val="-14"/>
        </w:rPr>
        <w:t xml:space="preserve"> </w:t>
      </w:r>
      <w:r>
        <w:t>in</w:t>
      </w:r>
      <w:r>
        <w:rPr>
          <w:spacing w:val="-14"/>
        </w:rPr>
        <w:t xml:space="preserve"> </w:t>
      </w:r>
      <w:r>
        <w:t>commercial</w:t>
      </w:r>
      <w:r>
        <w:rPr>
          <w:spacing w:val="-13"/>
        </w:rPr>
        <w:t xml:space="preserve"> </w:t>
      </w:r>
      <w:r>
        <w:t xml:space="preserve">finance, as debtors need access to pledged assets for operational activities. Nonetheless, pledges continue to be pertinent in personal lending and microfinance, especially when the creditor's oversight </w:t>
      </w:r>
      <w:r>
        <w:t>of the asset is considered crucial for risk mitigation</w:t>
      </w:r>
      <w:r>
        <w:rPr>
          <w:spacing w:val="40"/>
        </w:rPr>
        <w:t xml:space="preserve"> </w:t>
      </w:r>
      <w:r>
        <w:t>(Leite et al., 2024).</w:t>
      </w:r>
    </w:p>
    <w:p w:rsidR="00143FDB" w:rsidRDefault="006A44E3">
      <w:pPr>
        <w:pStyle w:val="BodyText"/>
        <w:spacing w:before="12" w:line="273" w:lineRule="auto"/>
        <w:ind w:right="58" w:firstLine="285"/>
      </w:pPr>
      <w:r>
        <w:t>The</w:t>
      </w:r>
      <w:r>
        <w:rPr>
          <w:spacing w:val="-7"/>
        </w:rPr>
        <w:t xml:space="preserve"> </w:t>
      </w:r>
      <w:r>
        <w:t>decision</w:t>
      </w:r>
      <w:r>
        <w:rPr>
          <w:spacing w:val="-3"/>
        </w:rPr>
        <w:t xml:space="preserve"> </w:t>
      </w:r>
      <w:r>
        <w:t>between</w:t>
      </w:r>
      <w:r>
        <w:rPr>
          <w:spacing w:val="-6"/>
        </w:rPr>
        <w:t xml:space="preserve"> </w:t>
      </w:r>
      <w:r>
        <w:t>mobile</w:t>
      </w:r>
      <w:r>
        <w:rPr>
          <w:spacing w:val="35"/>
        </w:rPr>
        <w:t xml:space="preserve"> </w:t>
      </w:r>
      <w:r>
        <w:t>and</w:t>
      </w:r>
      <w:r>
        <w:rPr>
          <w:spacing w:val="-7"/>
        </w:rPr>
        <w:t xml:space="preserve"> </w:t>
      </w:r>
      <w:r>
        <w:t>immovable</w:t>
      </w:r>
      <w:r>
        <w:rPr>
          <w:spacing w:val="38"/>
        </w:rPr>
        <w:t xml:space="preserve"> </w:t>
      </w:r>
      <w:r>
        <w:t>asset</w:t>
      </w:r>
      <w:r>
        <w:rPr>
          <w:spacing w:val="-5"/>
        </w:rPr>
        <w:t xml:space="preserve"> </w:t>
      </w:r>
      <w:r>
        <w:t>guarantees</w:t>
      </w:r>
      <w:r>
        <w:rPr>
          <w:spacing w:val="-6"/>
        </w:rPr>
        <w:t xml:space="preserve"> </w:t>
      </w:r>
      <w:r>
        <w:t>is contingent upon</w:t>
      </w:r>
      <w:r>
        <w:rPr>
          <w:spacing w:val="-1"/>
        </w:rPr>
        <w:t xml:space="preserve"> </w:t>
      </w:r>
      <w:r>
        <w:t>the</w:t>
      </w:r>
      <w:r>
        <w:rPr>
          <w:spacing w:val="-4"/>
        </w:rPr>
        <w:t xml:space="preserve"> </w:t>
      </w:r>
      <w:r>
        <w:t>form</w:t>
      </w:r>
      <w:r>
        <w:rPr>
          <w:spacing w:val="-5"/>
        </w:rPr>
        <w:t xml:space="preserve"> </w:t>
      </w:r>
      <w:r>
        <w:t>of</w:t>
      </w:r>
      <w:r>
        <w:rPr>
          <w:spacing w:val="-6"/>
        </w:rPr>
        <w:t xml:space="preserve"> </w:t>
      </w:r>
      <w:r>
        <w:t>the</w:t>
      </w:r>
      <w:r>
        <w:rPr>
          <w:spacing w:val="-11"/>
        </w:rPr>
        <w:t xml:space="preserve"> </w:t>
      </w:r>
      <w:r>
        <w:t xml:space="preserve">credit, the type of asset, and the creditor's enforcement approach. The principle of </w:t>
      </w:r>
      <w:r>
        <w:t>lex rei sitae applies, indicating that the law of the asset's location dictates the creation and enforcement of security interests. This object- oriented enforcement approach constitutes the foundational structure of collateral law in Indonesia, guaranteei</w:t>
      </w:r>
      <w:r>
        <w:t>ng that both creditors and debtors function within</w:t>
      </w:r>
      <w:r>
        <w:rPr>
          <w:spacing w:val="40"/>
        </w:rPr>
        <w:t xml:space="preserve"> </w:t>
      </w:r>
      <w:r>
        <w:t>a reliable</w:t>
      </w:r>
      <w:r>
        <w:rPr>
          <w:spacing w:val="39"/>
        </w:rPr>
        <w:t xml:space="preserve"> </w:t>
      </w:r>
      <w:r>
        <w:t>and enforceable legal system.</w:t>
      </w:r>
    </w:p>
    <w:p w:rsidR="00143FDB" w:rsidRDefault="00143FDB">
      <w:pPr>
        <w:pStyle w:val="BodyText"/>
        <w:spacing w:before="62"/>
        <w:ind w:left="0"/>
        <w:jc w:val="left"/>
      </w:pPr>
    </w:p>
    <w:p w:rsidR="00143FDB" w:rsidRDefault="006A44E3">
      <w:pPr>
        <w:pStyle w:val="Heading2"/>
      </w:pPr>
      <w:r>
        <w:rPr>
          <w:spacing w:val="-2"/>
        </w:rPr>
        <w:t>DISCUSSION</w:t>
      </w:r>
    </w:p>
    <w:p w:rsidR="00143FDB" w:rsidRDefault="006A44E3">
      <w:pPr>
        <w:pStyle w:val="BodyText"/>
        <w:spacing w:before="14" w:line="276" w:lineRule="auto"/>
        <w:ind w:right="46" w:firstLine="720"/>
      </w:pPr>
      <w:r>
        <w:t>This study's findings</w:t>
      </w:r>
      <w:r>
        <w:rPr>
          <w:spacing w:val="37"/>
        </w:rPr>
        <w:t xml:space="preserve"> </w:t>
      </w:r>
      <w:r>
        <w:t>reveal that Indonesia's legislative</w:t>
      </w:r>
      <w:r>
        <w:rPr>
          <w:spacing w:val="37"/>
        </w:rPr>
        <w:t xml:space="preserve"> </w:t>
      </w:r>
      <w:r>
        <w:t>framework for credit guarantees exhibits a conflict between civil law principles and the pract</w:t>
      </w:r>
      <w:r>
        <w:t>ical requirements of banking regulation. The notion of legal certainty, as defined by statutory laws like</w:t>
      </w:r>
      <w:r>
        <w:rPr>
          <w:spacing w:val="40"/>
        </w:rPr>
        <w:t xml:space="preserve"> </w:t>
      </w:r>
      <w:r>
        <w:t>Article 1131 of the Civil Code and Law No. 4 of 1996, underpins</w:t>
      </w:r>
      <w:r>
        <w:rPr>
          <w:spacing w:val="-12"/>
        </w:rPr>
        <w:t xml:space="preserve"> </w:t>
      </w:r>
      <w:r>
        <w:t>collateral</w:t>
      </w:r>
      <w:r>
        <w:rPr>
          <w:spacing w:val="-11"/>
        </w:rPr>
        <w:t xml:space="preserve"> </w:t>
      </w:r>
      <w:r>
        <w:t>enforcement.</w:t>
      </w:r>
      <w:r>
        <w:rPr>
          <w:spacing w:val="-12"/>
        </w:rPr>
        <w:t xml:space="preserve"> </w:t>
      </w:r>
      <w:r>
        <w:t>The</w:t>
      </w:r>
      <w:r>
        <w:rPr>
          <w:spacing w:val="-12"/>
        </w:rPr>
        <w:t xml:space="preserve"> </w:t>
      </w:r>
      <w:r>
        <w:t>implementation</w:t>
      </w:r>
      <w:r>
        <w:rPr>
          <w:spacing w:val="-11"/>
        </w:rPr>
        <w:t xml:space="preserve"> </w:t>
      </w:r>
      <w:r>
        <w:t>of</w:t>
      </w:r>
      <w:r>
        <w:rPr>
          <w:spacing w:val="-12"/>
        </w:rPr>
        <w:t xml:space="preserve"> </w:t>
      </w:r>
      <w:r>
        <w:t>this</w:t>
      </w:r>
      <w:r>
        <w:rPr>
          <w:spacing w:val="-12"/>
        </w:rPr>
        <w:t xml:space="preserve"> </w:t>
      </w:r>
      <w:r>
        <w:t>principle is</w:t>
      </w:r>
      <w:r>
        <w:rPr>
          <w:spacing w:val="-10"/>
        </w:rPr>
        <w:t xml:space="preserve"> </w:t>
      </w:r>
      <w:r>
        <w:t>significantly</w:t>
      </w:r>
      <w:r>
        <w:rPr>
          <w:spacing w:val="12"/>
        </w:rPr>
        <w:t xml:space="preserve"> </w:t>
      </w:r>
      <w:r>
        <w:t>affected</w:t>
      </w:r>
      <w:r>
        <w:rPr>
          <w:spacing w:val="-12"/>
        </w:rPr>
        <w:t xml:space="preserve"> </w:t>
      </w:r>
      <w:r>
        <w:t>by</w:t>
      </w:r>
      <w:r>
        <w:rPr>
          <w:spacing w:val="-14"/>
        </w:rPr>
        <w:t xml:space="preserve"> </w:t>
      </w:r>
      <w:r>
        <w:t>the</w:t>
      </w:r>
      <w:r>
        <w:rPr>
          <w:spacing w:val="-11"/>
        </w:rPr>
        <w:t xml:space="preserve"> </w:t>
      </w:r>
      <w:r>
        <w:t>bank's discretion in organizing the credit relationship, frequently leading to inconsistencies in the accessibility of legal</w:t>
      </w:r>
      <w:r>
        <w:rPr>
          <w:spacing w:val="-6"/>
        </w:rPr>
        <w:t xml:space="preserve"> </w:t>
      </w:r>
      <w:r>
        <w:t>protection</w:t>
      </w:r>
      <w:r>
        <w:rPr>
          <w:spacing w:val="-3"/>
        </w:rPr>
        <w:t xml:space="preserve"> </w:t>
      </w:r>
      <w:r>
        <w:t>for</w:t>
      </w:r>
      <w:r>
        <w:rPr>
          <w:spacing w:val="-1"/>
        </w:rPr>
        <w:t xml:space="preserve"> </w:t>
      </w:r>
      <w:r>
        <w:t>creditors</w:t>
      </w:r>
      <w:r>
        <w:rPr>
          <w:spacing w:val="-6"/>
        </w:rPr>
        <w:t xml:space="preserve"> </w:t>
      </w:r>
      <w:r>
        <w:t>and</w:t>
      </w:r>
      <w:r>
        <w:rPr>
          <w:spacing w:val="-5"/>
        </w:rPr>
        <w:t xml:space="preserve"> </w:t>
      </w:r>
      <w:r>
        <w:t>debtors.</w:t>
      </w:r>
      <w:r>
        <w:rPr>
          <w:spacing w:val="-10"/>
        </w:rPr>
        <w:t xml:space="preserve"> </w:t>
      </w:r>
      <w:r>
        <w:t>This substantiates</w:t>
      </w:r>
      <w:r>
        <w:rPr>
          <w:spacing w:val="-9"/>
        </w:rPr>
        <w:t xml:space="preserve"> </w:t>
      </w:r>
      <w:r>
        <w:t>the</w:t>
      </w:r>
      <w:r>
        <w:rPr>
          <w:spacing w:val="-3"/>
        </w:rPr>
        <w:t xml:space="preserve"> </w:t>
      </w:r>
      <w:r>
        <w:t>position</w:t>
      </w:r>
      <w:r>
        <w:rPr>
          <w:spacing w:val="30"/>
        </w:rPr>
        <w:t xml:space="preserve"> </w:t>
      </w:r>
      <w:r>
        <w:t>of</w:t>
      </w:r>
      <w:r>
        <w:rPr>
          <w:spacing w:val="-9"/>
        </w:rPr>
        <w:t xml:space="preserve"> </w:t>
      </w:r>
      <w:r>
        <w:t>researchers</w:t>
      </w:r>
      <w:r>
        <w:rPr>
          <w:spacing w:val="-7"/>
        </w:rPr>
        <w:t xml:space="preserve"> </w:t>
      </w:r>
      <w:r>
        <w:t>who</w:t>
      </w:r>
      <w:r>
        <w:rPr>
          <w:spacing w:val="-10"/>
        </w:rPr>
        <w:t xml:space="preserve"> </w:t>
      </w:r>
      <w:r>
        <w:t>assert</w:t>
      </w:r>
      <w:r>
        <w:rPr>
          <w:spacing w:val="-9"/>
        </w:rPr>
        <w:t xml:space="preserve"> </w:t>
      </w:r>
      <w:r>
        <w:t>that</w:t>
      </w:r>
      <w:r>
        <w:rPr>
          <w:spacing w:val="-13"/>
        </w:rPr>
        <w:t xml:space="preserve"> </w:t>
      </w:r>
      <w:r>
        <w:t>legal certainty in Ind</w:t>
      </w:r>
      <w:r>
        <w:t>onesia is officially codified yet inconsistently established (Pramono, 2023; Tegnan &amp; Setiowati, 2025).</w:t>
      </w:r>
    </w:p>
    <w:p w:rsidR="00143FDB" w:rsidRDefault="006A44E3">
      <w:pPr>
        <w:pStyle w:val="BodyText"/>
        <w:spacing w:before="15"/>
        <w:ind w:left="833"/>
      </w:pPr>
      <w:r>
        <w:t>The</w:t>
      </w:r>
      <w:r>
        <w:rPr>
          <w:spacing w:val="-19"/>
        </w:rPr>
        <w:t xml:space="preserve"> </w:t>
      </w:r>
      <w:r>
        <w:t>classification</w:t>
      </w:r>
      <w:r>
        <w:rPr>
          <w:spacing w:val="-12"/>
        </w:rPr>
        <w:t xml:space="preserve"> </w:t>
      </w:r>
      <w:r>
        <w:t>of</w:t>
      </w:r>
      <w:r>
        <w:rPr>
          <w:spacing w:val="-11"/>
        </w:rPr>
        <w:t xml:space="preserve"> </w:t>
      </w:r>
      <w:r>
        <w:t>guarantees,</w:t>
      </w:r>
      <w:r>
        <w:rPr>
          <w:spacing w:val="-21"/>
        </w:rPr>
        <w:t xml:space="preserve"> </w:t>
      </w:r>
      <w:r>
        <w:t>distinguishing</w:t>
      </w:r>
      <w:r>
        <w:rPr>
          <w:spacing w:val="40"/>
        </w:rPr>
        <w:t xml:space="preserve"> </w:t>
      </w:r>
      <w:r>
        <w:t>between</w:t>
      </w:r>
      <w:r>
        <w:rPr>
          <w:spacing w:val="-19"/>
        </w:rPr>
        <w:t xml:space="preserve"> </w:t>
      </w:r>
      <w:r>
        <w:t>those</w:t>
      </w:r>
      <w:r>
        <w:rPr>
          <w:spacing w:val="-14"/>
        </w:rPr>
        <w:t xml:space="preserve"> </w:t>
      </w:r>
      <w:r>
        <w:t>established</w:t>
      </w:r>
      <w:r>
        <w:rPr>
          <w:spacing w:val="-6"/>
        </w:rPr>
        <w:t xml:space="preserve"> </w:t>
      </w:r>
      <w:r>
        <w:t>by</w:t>
      </w:r>
      <w:r>
        <w:rPr>
          <w:spacing w:val="-15"/>
        </w:rPr>
        <w:t xml:space="preserve"> </w:t>
      </w:r>
      <w:r>
        <w:t>law</w:t>
      </w:r>
      <w:r>
        <w:rPr>
          <w:spacing w:val="-10"/>
        </w:rPr>
        <w:t xml:space="preserve"> </w:t>
      </w:r>
      <w:r>
        <w:t>and</w:t>
      </w:r>
      <w:r>
        <w:rPr>
          <w:spacing w:val="-14"/>
        </w:rPr>
        <w:t xml:space="preserve"> </w:t>
      </w:r>
      <w:r>
        <w:t>those</w:t>
      </w:r>
      <w:r>
        <w:rPr>
          <w:spacing w:val="-7"/>
        </w:rPr>
        <w:t xml:space="preserve"> </w:t>
      </w:r>
      <w:r>
        <w:rPr>
          <w:spacing w:val="-2"/>
        </w:rPr>
        <w:t>formed</w:t>
      </w:r>
    </w:p>
    <w:p w:rsidR="00143FDB" w:rsidRDefault="00143FDB">
      <w:pPr>
        <w:pStyle w:val="BodyText"/>
        <w:sectPr w:rsidR="00143FDB">
          <w:pgSz w:w="11920" w:h="16860"/>
          <w:pgMar w:top="1460" w:right="1133" w:bottom="2020" w:left="1133" w:header="282" w:footer="1831" w:gutter="0"/>
          <w:cols w:space="720"/>
        </w:sectPr>
      </w:pPr>
    </w:p>
    <w:p w:rsidR="00143FDB" w:rsidRDefault="006A44E3">
      <w:pPr>
        <w:pStyle w:val="BodyText"/>
        <w:spacing w:before="83" w:line="276" w:lineRule="auto"/>
        <w:ind w:right="63"/>
      </w:pPr>
      <w:r>
        <w:lastRenderedPageBreak/>
        <w:t>by contract, underscores the dualis</w:t>
      </w:r>
      <w:r>
        <w:t>tic character of legal duty in Indonesian private law. This dualism is grounded in the Roman-Dutch legal tradition,</w:t>
      </w:r>
      <w:r>
        <w:rPr>
          <w:spacing w:val="38"/>
        </w:rPr>
        <w:t xml:space="preserve"> </w:t>
      </w:r>
      <w:r>
        <w:t xml:space="preserve">which acknowledges both </w:t>
      </w:r>
      <w:r>
        <w:rPr>
          <w:i/>
        </w:rPr>
        <w:t xml:space="preserve">obligatio ex lege </w:t>
      </w:r>
      <w:r>
        <w:t>and</w:t>
      </w:r>
      <w:r>
        <w:rPr>
          <w:spacing w:val="-2"/>
        </w:rPr>
        <w:t xml:space="preserve"> </w:t>
      </w:r>
      <w:r>
        <w:rPr>
          <w:i/>
        </w:rPr>
        <w:t>obligatio</w:t>
      </w:r>
      <w:r>
        <w:rPr>
          <w:i/>
          <w:spacing w:val="-7"/>
        </w:rPr>
        <w:t xml:space="preserve"> </w:t>
      </w:r>
      <w:r>
        <w:rPr>
          <w:i/>
        </w:rPr>
        <w:t>ex contractu(W.</w:t>
      </w:r>
      <w:r>
        <w:rPr>
          <w:i/>
          <w:spacing w:val="-8"/>
        </w:rPr>
        <w:t xml:space="preserve"> </w:t>
      </w:r>
      <w:r>
        <w:rPr>
          <w:i/>
        </w:rPr>
        <w:t>A.</w:t>
      </w:r>
      <w:r>
        <w:rPr>
          <w:i/>
          <w:spacing w:val="-8"/>
        </w:rPr>
        <w:t xml:space="preserve"> </w:t>
      </w:r>
      <w:r>
        <w:rPr>
          <w:i/>
        </w:rPr>
        <w:t>Stockebrand,</w:t>
      </w:r>
      <w:r>
        <w:rPr>
          <w:i/>
          <w:spacing w:val="-1"/>
        </w:rPr>
        <w:t xml:space="preserve"> </w:t>
      </w:r>
      <w:r>
        <w:rPr>
          <w:i/>
        </w:rPr>
        <w:t>2018)</w:t>
      </w:r>
      <w:r>
        <w:t>.</w:t>
      </w:r>
      <w:r>
        <w:rPr>
          <w:spacing w:val="-1"/>
        </w:rPr>
        <w:t xml:space="preserve"> </w:t>
      </w:r>
      <w:r>
        <w:t>In</w:t>
      </w:r>
      <w:r>
        <w:rPr>
          <w:spacing w:val="-5"/>
        </w:rPr>
        <w:t xml:space="preserve"> </w:t>
      </w:r>
      <w:r>
        <w:t>fact,</w:t>
      </w:r>
      <w:r>
        <w:rPr>
          <w:spacing w:val="-8"/>
        </w:rPr>
        <w:t xml:space="preserve"> </w:t>
      </w:r>
      <w:r>
        <w:t>banks</w:t>
      </w:r>
      <w:r>
        <w:rPr>
          <w:spacing w:val="-1"/>
        </w:rPr>
        <w:t xml:space="preserve"> </w:t>
      </w:r>
      <w:r>
        <w:t>predominantly</w:t>
      </w:r>
      <w:r>
        <w:rPr>
          <w:spacing w:val="-7"/>
        </w:rPr>
        <w:t xml:space="preserve"> </w:t>
      </w:r>
      <w:r>
        <w:t>favor</w:t>
      </w:r>
      <w:r>
        <w:rPr>
          <w:spacing w:val="-3"/>
        </w:rPr>
        <w:t xml:space="preserve"> </w:t>
      </w:r>
      <w:r>
        <w:t>contractual</w:t>
      </w:r>
      <w:r>
        <w:rPr>
          <w:spacing w:val="-5"/>
        </w:rPr>
        <w:t xml:space="preserve"> </w:t>
      </w:r>
      <w:r>
        <w:t>guarantees,</w:t>
      </w:r>
      <w:r>
        <w:rPr>
          <w:spacing w:val="-10"/>
        </w:rPr>
        <w:t xml:space="preserve"> </w:t>
      </w:r>
      <w:r>
        <w:t>particularly material guarantees, because of their enforceability and priority rights. This corresponds with recent academic discourse highlighting the privatization of risk in commercial lending, wherein the contractualization</w:t>
      </w:r>
      <w:r>
        <w:rPr>
          <w:spacing w:val="40"/>
        </w:rPr>
        <w:t xml:space="preserve"> </w:t>
      </w:r>
      <w:r>
        <w:t>of c</w:t>
      </w:r>
      <w:r>
        <w:t>redit terms transfers the weight of legal certainty to the debtor.</w:t>
      </w:r>
    </w:p>
    <w:p w:rsidR="00143FDB" w:rsidRDefault="006A44E3">
      <w:pPr>
        <w:pStyle w:val="BodyText"/>
        <w:spacing w:line="276" w:lineRule="auto"/>
        <w:ind w:right="51" w:firstLine="720"/>
      </w:pPr>
      <w:r>
        <w:t>The</w:t>
      </w:r>
      <w:r>
        <w:rPr>
          <w:spacing w:val="-7"/>
        </w:rPr>
        <w:t xml:space="preserve"> </w:t>
      </w:r>
      <w:r>
        <w:t>examination</w:t>
      </w:r>
      <w:r>
        <w:rPr>
          <w:spacing w:val="-1"/>
        </w:rPr>
        <w:t xml:space="preserve"> </w:t>
      </w:r>
      <w:r>
        <w:t>of</w:t>
      </w:r>
      <w:r>
        <w:rPr>
          <w:spacing w:val="-1"/>
        </w:rPr>
        <w:t xml:space="preserve"> </w:t>
      </w:r>
      <w:r>
        <w:t>material</w:t>
      </w:r>
      <w:r>
        <w:rPr>
          <w:spacing w:val="-3"/>
        </w:rPr>
        <w:t xml:space="preserve"> </w:t>
      </w:r>
      <w:r>
        <w:t>guarantees</w:t>
      </w:r>
      <w:r>
        <w:rPr>
          <w:spacing w:val="-6"/>
        </w:rPr>
        <w:t xml:space="preserve"> </w:t>
      </w:r>
      <w:r>
        <w:t>highlights</w:t>
      </w:r>
      <w:r>
        <w:rPr>
          <w:spacing w:val="26"/>
        </w:rPr>
        <w:t xml:space="preserve"> </w:t>
      </w:r>
      <w:r>
        <w:t>the</w:t>
      </w:r>
      <w:r>
        <w:rPr>
          <w:spacing w:val="-3"/>
        </w:rPr>
        <w:t xml:space="preserve"> </w:t>
      </w:r>
      <w:r>
        <w:t>importance</w:t>
      </w:r>
      <w:r>
        <w:rPr>
          <w:spacing w:val="-1"/>
        </w:rPr>
        <w:t xml:space="preserve"> </w:t>
      </w:r>
      <w:r>
        <w:t>of</w:t>
      </w:r>
      <w:r>
        <w:rPr>
          <w:spacing w:val="-3"/>
        </w:rPr>
        <w:t xml:space="preserve"> </w:t>
      </w:r>
      <w:r>
        <w:t>in</w:t>
      </w:r>
      <w:r>
        <w:rPr>
          <w:spacing w:val="-1"/>
        </w:rPr>
        <w:t xml:space="preserve"> </w:t>
      </w:r>
      <w:r>
        <w:t>rem</w:t>
      </w:r>
      <w:r>
        <w:rPr>
          <w:spacing w:val="-10"/>
        </w:rPr>
        <w:t xml:space="preserve"> </w:t>
      </w:r>
      <w:r>
        <w:t>rights in</w:t>
      </w:r>
      <w:r>
        <w:rPr>
          <w:spacing w:val="-1"/>
        </w:rPr>
        <w:t xml:space="preserve"> </w:t>
      </w:r>
      <w:r>
        <w:t>contemporary banking law. Mortgage rights, fiduciary transfers, and pledges are not only procedural mech</w:t>
      </w:r>
      <w:r>
        <w:t>anisms but embody the institutionalization of creditor preference within the legal framework. This legal framework, although efficient in safeguarding creditor interests, prompts apprehensions about access to justice for disadvantaged parties, especially i</w:t>
      </w:r>
      <w:r>
        <w:t>n situations</w:t>
      </w:r>
      <w:r>
        <w:rPr>
          <w:spacing w:val="35"/>
        </w:rPr>
        <w:t xml:space="preserve"> </w:t>
      </w:r>
      <w:r>
        <w:t>characterized by disparities</w:t>
      </w:r>
      <w:r>
        <w:rPr>
          <w:spacing w:val="33"/>
        </w:rPr>
        <w:t xml:space="preserve"> </w:t>
      </w:r>
      <w:r>
        <w:t>in legal literacy and negotiating power. The literature increasingly attacks the efficiency-driven enforcement of mortgage rights for disregarding procedural fairness and debtor vulnerability, particularly in non-l</w:t>
      </w:r>
      <w:r>
        <w:t>itigious executions like auctions</w:t>
      </w:r>
      <w:r>
        <w:rPr>
          <w:spacing w:val="40"/>
        </w:rPr>
        <w:t xml:space="preserve"> </w:t>
      </w:r>
      <w:r>
        <w:t>(Ahmadi et al., 2019; Marbun &amp; Santoso, 2024b).</w:t>
      </w:r>
    </w:p>
    <w:p w:rsidR="00143FDB" w:rsidRDefault="006A44E3">
      <w:pPr>
        <w:pStyle w:val="BodyText"/>
        <w:spacing w:line="276" w:lineRule="auto"/>
        <w:ind w:right="45" w:firstLine="720"/>
      </w:pPr>
      <w:r>
        <w:t>Conversely,</w:t>
      </w:r>
      <w:r>
        <w:rPr>
          <w:spacing w:val="-11"/>
        </w:rPr>
        <w:t xml:space="preserve"> </w:t>
      </w:r>
      <w:r>
        <w:t>human</w:t>
      </w:r>
      <w:r>
        <w:rPr>
          <w:spacing w:val="-11"/>
        </w:rPr>
        <w:t xml:space="preserve"> </w:t>
      </w:r>
      <w:r>
        <w:t>and</w:t>
      </w:r>
      <w:r>
        <w:rPr>
          <w:spacing w:val="-14"/>
        </w:rPr>
        <w:t xml:space="preserve"> </w:t>
      </w:r>
      <w:r>
        <w:t>corporate</w:t>
      </w:r>
      <w:r>
        <w:rPr>
          <w:spacing w:val="-11"/>
        </w:rPr>
        <w:t xml:space="preserve"> </w:t>
      </w:r>
      <w:r>
        <w:t>guarantees</w:t>
      </w:r>
      <w:r>
        <w:rPr>
          <w:spacing w:val="-13"/>
        </w:rPr>
        <w:t xml:space="preserve"> </w:t>
      </w:r>
      <w:r>
        <w:t>serve</w:t>
      </w:r>
      <w:r>
        <w:rPr>
          <w:spacing w:val="-11"/>
        </w:rPr>
        <w:t xml:space="preserve"> </w:t>
      </w:r>
      <w:r>
        <w:t>as</w:t>
      </w:r>
      <w:r>
        <w:rPr>
          <w:spacing w:val="-14"/>
        </w:rPr>
        <w:t xml:space="preserve"> </w:t>
      </w:r>
      <w:r>
        <w:t>alternatives</w:t>
      </w:r>
      <w:r>
        <w:rPr>
          <w:spacing w:val="-13"/>
        </w:rPr>
        <w:t xml:space="preserve"> </w:t>
      </w:r>
      <w:r>
        <w:t>to</w:t>
      </w:r>
      <w:r>
        <w:rPr>
          <w:spacing w:val="-11"/>
        </w:rPr>
        <w:t xml:space="preserve"> </w:t>
      </w:r>
      <w:r>
        <w:t>material</w:t>
      </w:r>
      <w:r>
        <w:rPr>
          <w:spacing w:val="-10"/>
        </w:rPr>
        <w:t xml:space="preserve"> </w:t>
      </w:r>
      <w:r>
        <w:t>guarantees</w:t>
      </w:r>
      <w:r>
        <w:rPr>
          <w:spacing w:val="-11"/>
        </w:rPr>
        <w:t xml:space="preserve"> </w:t>
      </w:r>
      <w:r>
        <w:t>when</w:t>
      </w:r>
      <w:r>
        <w:rPr>
          <w:spacing w:val="-13"/>
        </w:rPr>
        <w:t xml:space="preserve"> </w:t>
      </w:r>
      <w:r>
        <w:t>asset- based security is either inaccessible or unfeasible. Despite their prevalent application in group lending and Small and</w:t>
      </w:r>
      <w:r>
        <w:rPr>
          <w:spacing w:val="-1"/>
        </w:rPr>
        <w:t xml:space="preserve"> </w:t>
      </w:r>
      <w:r>
        <w:t>Medium-sized</w:t>
      </w:r>
      <w:r>
        <w:rPr>
          <w:spacing w:val="31"/>
        </w:rPr>
        <w:t xml:space="preserve"> </w:t>
      </w:r>
      <w:r>
        <w:t>Enterprises (SME) financing,</w:t>
      </w:r>
      <w:r>
        <w:rPr>
          <w:spacing w:val="27"/>
        </w:rPr>
        <w:t xml:space="preserve"> </w:t>
      </w:r>
      <w:r>
        <w:t>personal</w:t>
      </w:r>
      <w:r>
        <w:rPr>
          <w:spacing w:val="-5"/>
        </w:rPr>
        <w:t xml:space="preserve"> </w:t>
      </w:r>
      <w:r>
        <w:t>guarantees</w:t>
      </w:r>
      <w:r>
        <w:rPr>
          <w:spacing w:val="-2"/>
        </w:rPr>
        <w:t xml:space="preserve"> </w:t>
      </w:r>
      <w:r>
        <w:t>possess</w:t>
      </w:r>
      <w:r>
        <w:rPr>
          <w:spacing w:val="-3"/>
        </w:rPr>
        <w:t xml:space="preserve"> </w:t>
      </w:r>
      <w:r>
        <w:t>worse</w:t>
      </w:r>
      <w:r>
        <w:rPr>
          <w:spacing w:val="-4"/>
        </w:rPr>
        <w:t xml:space="preserve"> </w:t>
      </w:r>
      <w:r>
        <w:t>legal</w:t>
      </w:r>
      <w:r>
        <w:rPr>
          <w:spacing w:val="-3"/>
        </w:rPr>
        <w:t xml:space="preserve"> </w:t>
      </w:r>
      <w:r>
        <w:t xml:space="preserve">robustness compared to material guarantees and </w:t>
      </w:r>
      <w:r>
        <w:t>are predominantly</w:t>
      </w:r>
      <w:r>
        <w:rPr>
          <w:spacing w:val="36"/>
        </w:rPr>
        <w:t xml:space="preserve"> </w:t>
      </w:r>
      <w:r>
        <w:t>dependent on post-default litigation</w:t>
      </w:r>
      <w:r>
        <w:rPr>
          <w:spacing w:val="36"/>
        </w:rPr>
        <w:t xml:space="preserve"> </w:t>
      </w:r>
      <w:r>
        <w:t>(Cheng</w:t>
      </w:r>
      <w:r>
        <w:rPr>
          <w:spacing w:val="-2"/>
        </w:rPr>
        <w:t xml:space="preserve"> </w:t>
      </w:r>
      <w:r>
        <w:t>et al., 2020). This substantiates criticisms</w:t>
      </w:r>
      <w:r>
        <w:rPr>
          <w:spacing w:val="28"/>
        </w:rPr>
        <w:t xml:space="preserve"> </w:t>
      </w:r>
      <w:r>
        <w:t>of personal guarantees</w:t>
      </w:r>
      <w:r>
        <w:rPr>
          <w:spacing w:val="-1"/>
        </w:rPr>
        <w:t xml:space="preserve"> </w:t>
      </w:r>
      <w:r>
        <w:t>as mechanisms that shift lender risk onto others while providing few procedural safeguards for third-party guarantors. The ind</w:t>
      </w:r>
      <w:r>
        <w:t xml:space="preserve">istinct boundary between moral obligation and legal culpability in the enforcement of personal guarantees has resulted in judicial discrepancies, highlighting deficiencies in the doctrinal evolution of borgtocht within Indonesian civil </w:t>
      </w:r>
      <w:r>
        <w:rPr>
          <w:spacing w:val="-2"/>
        </w:rPr>
        <w:t>jurisprudence.</w:t>
      </w:r>
    </w:p>
    <w:p w:rsidR="00143FDB" w:rsidRDefault="006A44E3">
      <w:pPr>
        <w:pStyle w:val="BodyText"/>
        <w:spacing w:before="4" w:line="276" w:lineRule="auto"/>
        <w:ind w:right="44" w:firstLine="720"/>
      </w:pPr>
      <w:r>
        <w:t>The l</w:t>
      </w:r>
      <w:r>
        <w:t xml:space="preserve">egal differentiation between possession and ownership, especially concerning movable collateral, remains a predominantly underexplored matter in the execution of credit guarantees. The Civil Code acknowledges the legal implications of bezit in attributing </w:t>
      </w:r>
      <w:r>
        <w:t>presumptive ownership of movable property; nonetheless, this principle</w:t>
      </w:r>
      <w:r>
        <w:rPr>
          <w:spacing w:val="28"/>
        </w:rPr>
        <w:t xml:space="preserve"> </w:t>
      </w:r>
      <w:r>
        <w:t>frequently conflicts with formal registration mandates in fiduciary</w:t>
      </w:r>
      <w:r>
        <w:rPr>
          <w:spacing w:val="-3"/>
        </w:rPr>
        <w:t xml:space="preserve"> </w:t>
      </w:r>
      <w:r>
        <w:t>and pledge agreements (Ernst, 2022). The introduction of possession-based assurances may lead to legal ambiguity</w:t>
      </w:r>
      <w:r>
        <w:rPr>
          <w:spacing w:val="40"/>
        </w:rPr>
        <w:t xml:space="preserve"> </w:t>
      </w:r>
      <w:r>
        <w:t>and</w:t>
      </w:r>
      <w:r>
        <w:rPr>
          <w:spacing w:val="-3"/>
        </w:rPr>
        <w:t xml:space="preserve"> </w:t>
      </w:r>
      <w:r>
        <w:t>disputes regarding ownership, particularly in informal or undocumented lending situations.</w:t>
      </w:r>
    </w:p>
    <w:p w:rsidR="00143FDB" w:rsidRDefault="006A44E3">
      <w:pPr>
        <w:pStyle w:val="BodyText"/>
        <w:spacing w:line="276" w:lineRule="auto"/>
        <w:ind w:right="61" w:firstLine="720"/>
      </w:pPr>
      <w:r>
        <w:t>Finally, the categorization of collateral into moveable and immovable assets exposes underlying structural</w:t>
      </w:r>
      <w:r>
        <w:rPr>
          <w:spacing w:val="-4"/>
        </w:rPr>
        <w:t xml:space="preserve"> </w:t>
      </w:r>
      <w:r>
        <w:t>problems in</w:t>
      </w:r>
      <w:r>
        <w:rPr>
          <w:spacing w:val="-1"/>
        </w:rPr>
        <w:t xml:space="preserve"> </w:t>
      </w:r>
      <w:r>
        <w:t>legal</w:t>
      </w:r>
      <w:r>
        <w:rPr>
          <w:spacing w:val="-3"/>
        </w:rPr>
        <w:t xml:space="preserve"> </w:t>
      </w:r>
      <w:r>
        <w:t>formalism</w:t>
      </w:r>
      <w:r>
        <w:rPr>
          <w:spacing w:val="-2"/>
        </w:rPr>
        <w:t xml:space="preserve"> </w:t>
      </w:r>
      <w:r>
        <w:t>and</w:t>
      </w:r>
      <w:r>
        <w:rPr>
          <w:spacing w:val="-2"/>
        </w:rPr>
        <w:t xml:space="preserve"> </w:t>
      </w:r>
      <w:r>
        <w:t>bureaucratic implementatio</w:t>
      </w:r>
      <w:r>
        <w:t>n</w:t>
      </w:r>
      <w:r>
        <w:rPr>
          <w:spacing w:val="22"/>
        </w:rPr>
        <w:t xml:space="preserve"> </w:t>
      </w:r>
      <w:r>
        <w:t>(Wulandari et</w:t>
      </w:r>
      <w:r>
        <w:rPr>
          <w:spacing w:val="-6"/>
        </w:rPr>
        <w:t xml:space="preserve"> </w:t>
      </w:r>
      <w:r>
        <w:t>al.,</w:t>
      </w:r>
      <w:r>
        <w:rPr>
          <w:spacing w:val="-1"/>
        </w:rPr>
        <w:t xml:space="preserve"> </w:t>
      </w:r>
      <w:r>
        <w:t>2024). Although the law delineates explicit execution procedures for certain asset categories, in practice, this divergence frequently leads to unequal access to enforcement measures. For example, creditors with fixed collateral posses</w:t>
      </w:r>
      <w:r>
        <w:t>s expedited auction rights, whereas those with movable assurances may encounter delays due to administrative</w:t>
      </w:r>
      <w:r>
        <w:rPr>
          <w:spacing w:val="-11"/>
        </w:rPr>
        <w:t xml:space="preserve"> </w:t>
      </w:r>
      <w:r>
        <w:t>or</w:t>
      </w:r>
      <w:r>
        <w:rPr>
          <w:spacing w:val="-11"/>
        </w:rPr>
        <w:t xml:space="preserve"> </w:t>
      </w:r>
      <w:r>
        <w:t>evidentiary</w:t>
      </w:r>
      <w:r>
        <w:rPr>
          <w:spacing w:val="-8"/>
        </w:rPr>
        <w:t xml:space="preserve"> </w:t>
      </w:r>
      <w:r>
        <w:t>obstacles.</w:t>
      </w:r>
      <w:r>
        <w:rPr>
          <w:spacing w:val="-11"/>
        </w:rPr>
        <w:t xml:space="preserve"> </w:t>
      </w:r>
      <w:r>
        <w:t>These</w:t>
      </w:r>
      <w:r>
        <w:rPr>
          <w:spacing w:val="-12"/>
        </w:rPr>
        <w:t xml:space="preserve"> </w:t>
      </w:r>
      <w:r>
        <w:t>practical</w:t>
      </w:r>
      <w:r>
        <w:rPr>
          <w:spacing w:val="-10"/>
        </w:rPr>
        <w:t xml:space="preserve"> </w:t>
      </w:r>
      <w:r>
        <w:t>discrepancies</w:t>
      </w:r>
      <w:r>
        <w:rPr>
          <w:spacing w:val="-10"/>
        </w:rPr>
        <w:t xml:space="preserve"> </w:t>
      </w:r>
      <w:r>
        <w:t>underscore</w:t>
      </w:r>
      <w:r>
        <w:rPr>
          <w:spacing w:val="-11"/>
        </w:rPr>
        <w:t xml:space="preserve"> </w:t>
      </w:r>
      <w:r>
        <w:t>the</w:t>
      </w:r>
      <w:r>
        <w:rPr>
          <w:spacing w:val="-2"/>
        </w:rPr>
        <w:t xml:space="preserve"> </w:t>
      </w:r>
      <w:r>
        <w:t>necessity</w:t>
      </w:r>
      <w:r>
        <w:rPr>
          <w:spacing w:val="-13"/>
        </w:rPr>
        <w:t xml:space="preserve"> </w:t>
      </w:r>
      <w:r>
        <w:t>for</w:t>
      </w:r>
      <w:r>
        <w:rPr>
          <w:spacing w:val="-6"/>
        </w:rPr>
        <w:t xml:space="preserve"> </w:t>
      </w:r>
      <w:r>
        <w:t>alignment between the theoretical tenets of civil law and the procedural reality of credit enforcement, especially concerning asset</w:t>
      </w:r>
      <w:r>
        <w:rPr>
          <w:spacing w:val="-3"/>
        </w:rPr>
        <w:t xml:space="preserve"> </w:t>
      </w:r>
      <w:r>
        <w:t>classification, public</w:t>
      </w:r>
      <w:r>
        <w:rPr>
          <w:spacing w:val="40"/>
        </w:rPr>
        <w:t xml:space="preserve"> </w:t>
      </w:r>
      <w:r>
        <w:t>auction restrictions, and</w:t>
      </w:r>
      <w:r>
        <w:rPr>
          <w:spacing w:val="-12"/>
        </w:rPr>
        <w:t xml:space="preserve"> </w:t>
      </w:r>
      <w:r>
        <w:t>fiduciary</w:t>
      </w:r>
      <w:r>
        <w:rPr>
          <w:spacing w:val="40"/>
        </w:rPr>
        <w:t xml:space="preserve"> </w:t>
      </w:r>
      <w:r>
        <w:t>registration</w:t>
      </w:r>
      <w:r>
        <w:rPr>
          <w:spacing w:val="40"/>
        </w:rPr>
        <w:t xml:space="preserve"> </w:t>
      </w:r>
      <w:r>
        <w:t>systems.</w:t>
      </w:r>
    </w:p>
    <w:p w:rsidR="00143FDB" w:rsidRDefault="006A44E3">
      <w:pPr>
        <w:pStyle w:val="BodyText"/>
        <w:spacing w:line="278" w:lineRule="auto"/>
        <w:ind w:right="62" w:firstLine="720"/>
      </w:pPr>
      <w:r>
        <w:t>These findings</w:t>
      </w:r>
      <w:r>
        <w:rPr>
          <w:spacing w:val="38"/>
        </w:rPr>
        <w:t xml:space="preserve"> </w:t>
      </w:r>
      <w:r>
        <w:t>demonstrate that although Indonesia's credit guarantee system is legally extensive, its</w:t>
      </w:r>
      <w:r>
        <w:rPr>
          <w:spacing w:val="-11"/>
        </w:rPr>
        <w:t xml:space="preserve"> </w:t>
      </w:r>
      <w:r>
        <w:t>implementation</w:t>
      </w:r>
      <w:r>
        <w:rPr>
          <w:spacing w:val="-11"/>
        </w:rPr>
        <w:t xml:space="preserve"> </w:t>
      </w:r>
      <w:r>
        <w:t>indicates</w:t>
      </w:r>
      <w:r>
        <w:rPr>
          <w:spacing w:val="-6"/>
        </w:rPr>
        <w:t xml:space="preserve"> </w:t>
      </w:r>
      <w:r>
        <w:t>a</w:t>
      </w:r>
      <w:r>
        <w:rPr>
          <w:spacing w:val="-11"/>
        </w:rPr>
        <w:t xml:space="preserve"> </w:t>
      </w:r>
      <w:r>
        <w:t>legal</w:t>
      </w:r>
      <w:r>
        <w:rPr>
          <w:spacing w:val="-10"/>
        </w:rPr>
        <w:t xml:space="preserve"> </w:t>
      </w:r>
      <w:r>
        <w:t>framework</w:t>
      </w:r>
      <w:r>
        <w:rPr>
          <w:spacing w:val="-14"/>
        </w:rPr>
        <w:t xml:space="preserve"> </w:t>
      </w:r>
      <w:r>
        <w:t>still</w:t>
      </w:r>
      <w:r>
        <w:rPr>
          <w:spacing w:val="-3"/>
        </w:rPr>
        <w:t xml:space="preserve"> </w:t>
      </w:r>
      <w:r>
        <w:t>reconciling creditor</w:t>
      </w:r>
      <w:r>
        <w:rPr>
          <w:spacing w:val="-8"/>
        </w:rPr>
        <w:t xml:space="preserve"> </w:t>
      </w:r>
      <w:r>
        <w:t>security,</w:t>
      </w:r>
      <w:r>
        <w:rPr>
          <w:spacing w:val="-6"/>
        </w:rPr>
        <w:t xml:space="preserve"> </w:t>
      </w:r>
      <w:r>
        <w:t>debtor</w:t>
      </w:r>
      <w:r>
        <w:rPr>
          <w:spacing w:val="-11"/>
        </w:rPr>
        <w:t xml:space="preserve"> </w:t>
      </w:r>
      <w:r>
        <w:t>rights,</w:t>
      </w:r>
      <w:r>
        <w:rPr>
          <w:spacing w:val="-4"/>
        </w:rPr>
        <w:t xml:space="preserve"> </w:t>
      </w:r>
      <w:r>
        <w:t>and</w:t>
      </w:r>
      <w:r>
        <w:rPr>
          <w:spacing w:val="-11"/>
        </w:rPr>
        <w:t xml:space="preserve"> </w:t>
      </w:r>
      <w:r>
        <w:t>systemic efficiency.</w:t>
      </w:r>
      <w:r>
        <w:rPr>
          <w:spacing w:val="-13"/>
        </w:rPr>
        <w:t xml:space="preserve"> </w:t>
      </w:r>
      <w:r>
        <w:t>The</w:t>
      </w:r>
      <w:r>
        <w:rPr>
          <w:spacing w:val="-11"/>
        </w:rPr>
        <w:t xml:space="preserve"> </w:t>
      </w:r>
      <w:r>
        <w:t>discourse</w:t>
      </w:r>
      <w:r>
        <w:rPr>
          <w:spacing w:val="-13"/>
        </w:rPr>
        <w:t xml:space="preserve"> </w:t>
      </w:r>
      <w:r>
        <w:t>indicates</w:t>
      </w:r>
      <w:r>
        <w:rPr>
          <w:spacing w:val="-13"/>
        </w:rPr>
        <w:t xml:space="preserve"> </w:t>
      </w:r>
      <w:r>
        <w:t>the</w:t>
      </w:r>
      <w:r>
        <w:rPr>
          <w:spacing w:val="-14"/>
        </w:rPr>
        <w:t xml:space="preserve"> </w:t>
      </w:r>
      <w:r>
        <w:t>necessity</w:t>
      </w:r>
      <w:r>
        <w:rPr>
          <w:spacing w:val="-14"/>
        </w:rPr>
        <w:t xml:space="preserve"> </w:t>
      </w:r>
      <w:r>
        <w:t>for</w:t>
      </w:r>
      <w:r>
        <w:rPr>
          <w:spacing w:val="-10"/>
        </w:rPr>
        <w:t xml:space="preserve"> </w:t>
      </w:r>
      <w:r>
        <w:t>additi</w:t>
      </w:r>
      <w:r>
        <w:t>onal</w:t>
      </w:r>
      <w:r>
        <w:rPr>
          <w:spacing w:val="-11"/>
        </w:rPr>
        <w:t xml:space="preserve"> </w:t>
      </w:r>
      <w:r>
        <w:t>doctrinal</w:t>
      </w:r>
      <w:r>
        <w:rPr>
          <w:spacing w:val="-11"/>
        </w:rPr>
        <w:t xml:space="preserve"> </w:t>
      </w:r>
      <w:r>
        <w:t>elucidation,</w:t>
      </w:r>
      <w:r>
        <w:rPr>
          <w:spacing w:val="5"/>
        </w:rPr>
        <w:t xml:space="preserve"> </w:t>
      </w:r>
      <w:r>
        <w:t>procedural</w:t>
      </w:r>
      <w:r>
        <w:rPr>
          <w:spacing w:val="-13"/>
        </w:rPr>
        <w:t xml:space="preserve"> </w:t>
      </w:r>
      <w:r>
        <w:t>change,</w:t>
      </w:r>
      <w:r>
        <w:rPr>
          <w:spacing w:val="-11"/>
        </w:rPr>
        <w:t xml:space="preserve"> </w:t>
      </w:r>
      <w:r>
        <w:t>and, crucially, a transition towards more equitable legal frameworks that can address disparities in power and access between financial institutions</w:t>
      </w:r>
      <w:r>
        <w:rPr>
          <w:spacing w:val="80"/>
        </w:rPr>
        <w:t xml:space="preserve"> </w:t>
      </w:r>
      <w:r>
        <w:t>and borrowers.</w:t>
      </w:r>
    </w:p>
    <w:p w:rsidR="00143FDB" w:rsidRDefault="00143FDB">
      <w:pPr>
        <w:pStyle w:val="BodyText"/>
        <w:spacing w:before="51"/>
        <w:ind w:left="0"/>
        <w:jc w:val="left"/>
      </w:pPr>
    </w:p>
    <w:p w:rsidR="00143FDB" w:rsidRDefault="006A44E3">
      <w:pPr>
        <w:pStyle w:val="Heading2"/>
      </w:pPr>
      <w:r>
        <w:rPr>
          <w:spacing w:val="-2"/>
        </w:rPr>
        <w:t>CONCLUSION</w:t>
      </w:r>
    </w:p>
    <w:p w:rsidR="00143FDB" w:rsidRDefault="00143FDB">
      <w:pPr>
        <w:pStyle w:val="Heading2"/>
        <w:sectPr w:rsidR="00143FDB">
          <w:pgSz w:w="11920" w:h="16860"/>
          <w:pgMar w:top="1460" w:right="1133" w:bottom="2020" w:left="1133" w:header="282" w:footer="1831" w:gutter="0"/>
          <w:cols w:space="720"/>
        </w:sectPr>
      </w:pPr>
    </w:p>
    <w:p w:rsidR="00143FDB" w:rsidRDefault="006A44E3">
      <w:pPr>
        <w:pStyle w:val="BodyText"/>
        <w:spacing w:before="83" w:line="276" w:lineRule="auto"/>
        <w:ind w:right="56" w:firstLine="720"/>
      </w:pPr>
      <w:r>
        <w:lastRenderedPageBreak/>
        <w:t>This</w:t>
      </w:r>
      <w:r>
        <w:rPr>
          <w:spacing w:val="-11"/>
        </w:rPr>
        <w:t xml:space="preserve"> </w:t>
      </w:r>
      <w:r>
        <w:t>study</w:t>
      </w:r>
      <w:r>
        <w:rPr>
          <w:spacing w:val="-9"/>
        </w:rPr>
        <w:t xml:space="preserve"> </w:t>
      </w:r>
      <w:r>
        <w:t>has</w:t>
      </w:r>
      <w:r>
        <w:rPr>
          <w:spacing w:val="-9"/>
        </w:rPr>
        <w:t xml:space="preserve"> </w:t>
      </w:r>
      <w:r>
        <w:t>shown</w:t>
      </w:r>
      <w:r>
        <w:rPr>
          <w:spacing w:val="-7"/>
        </w:rPr>
        <w:t xml:space="preserve"> </w:t>
      </w:r>
      <w:r>
        <w:t>that</w:t>
      </w:r>
      <w:r>
        <w:rPr>
          <w:spacing w:val="-8"/>
        </w:rPr>
        <w:t xml:space="preserve"> </w:t>
      </w:r>
      <w:r>
        <w:t>Indonesia's</w:t>
      </w:r>
      <w:r>
        <w:rPr>
          <w:spacing w:val="-2"/>
        </w:rPr>
        <w:t xml:space="preserve"> </w:t>
      </w:r>
      <w:r>
        <w:t>legal</w:t>
      </w:r>
      <w:r>
        <w:rPr>
          <w:spacing w:val="-2"/>
        </w:rPr>
        <w:t xml:space="preserve"> </w:t>
      </w:r>
      <w:r>
        <w:t>framework</w:t>
      </w:r>
      <w:r>
        <w:rPr>
          <w:spacing w:val="-9"/>
        </w:rPr>
        <w:t xml:space="preserve"> </w:t>
      </w:r>
      <w:r>
        <w:t>on</w:t>
      </w:r>
      <w:r>
        <w:rPr>
          <w:spacing w:val="-9"/>
        </w:rPr>
        <w:t xml:space="preserve"> </w:t>
      </w:r>
      <w:r>
        <w:t>loan guarantees</w:t>
      </w:r>
      <w:r>
        <w:rPr>
          <w:spacing w:val="-8"/>
        </w:rPr>
        <w:t xml:space="preserve"> </w:t>
      </w:r>
      <w:r>
        <w:t>represents</w:t>
      </w:r>
      <w:r>
        <w:rPr>
          <w:spacing w:val="-9"/>
        </w:rPr>
        <w:t xml:space="preserve"> </w:t>
      </w:r>
      <w:r>
        <w:t>a</w:t>
      </w:r>
      <w:r>
        <w:rPr>
          <w:spacing w:val="-7"/>
        </w:rPr>
        <w:t xml:space="preserve"> </w:t>
      </w:r>
      <w:r>
        <w:t>complex</w:t>
      </w:r>
      <w:r>
        <w:rPr>
          <w:spacing w:val="-11"/>
        </w:rPr>
        <w:t xml:space="preserve"> </w:t>
      </w:r>
      <w:r>
        <w:t>and fragmented structure that integrates civil law principles with banking regulatory practices. The framework of general</w:t>
      </w:r>
      <w:r>
        <w:rPr>
          <w:spacing w:val="-4"/>
        </w:rPr>
        <w:t xml:space="preserve"> </w:t>
      </w:r>
      <w:r>
        <w:t>and special</w:t>
      </w:r>
      <w:r>
        <w:rPr>
          <w:spacing w:val="-2"/>
        </w:rPr>
        <w:t xml:space="preserve"> </w:t>
      </w:r>
      <w:r>
        <w:t>guarantees, along with the differentiation</w:t>
      </w:r>
      <w:r>
        <w:rPr>
          <w:spacing w:val="38"/>
        </w:rPr>
        <w:t xml:space="preserve"> </w:t>
      </w:r>
      <w:r>
        <w:t>between</w:t>
      </w:r>
      <w:r>
        <w:rPr>
          <w:spacing w:val="-2"/>
        </w:rPr>
        <w:t xml:space="preserve"> </w:t>
      </w:r>
      <w:r>
        <w:t>material and personal guarantees, is normatively thorough; yet, its implementation exposes ongoing disparities in legal protection and enforcement accessibility.</w:t>
      </w:r>
      <w:r>
        <w:rPr>
          <w:spacing w:val="39"/>
        </w:rPr>
        <w:t xml:space="preserve"> </w:t>
      </w:r>
      <w:r>
        <w:t>These asymmetries are influenced by imbalances in creditor-debtor negotiating leverage</w:t>
      </w:r>
      <w:r>
        <w:t>, discrepancies in procedural execution, and a significant dependence on private contractual agreements rather than substantive</w:t>
      </w:r>
      <w:r>
        <w:rPr>
          <w:spacing w:val="40"/>
        </w:rPr>
        <w:t xml:space="preserve"> </w:t>
      </w:r>
      <w:r>
        <w:t>judicial</w:t>
      </w:r>
      <w:r>
        <w:rPr>
          <w:spacing w:val="40"/>
        </w:rPr>
        <w:t xml:space="preserve"> </w:t>
      </w:r>
      <w:r>
        <w:t>review.</w:t>
      </w:r>
    </w:p>
    <w:p w:rsidR="00143FDB" w:rsidRDefault="006A44E3">
      <w:pPr>
        <w:pStyle w:val="BodyText"/>
        <w:spacing w:line="278" w:lineRule="auto"/>
        <w:ind w:right="57" w:firstLine="720"/>
      </w:pPr>
      <w:r>
        <w:t>The analysis confirms that material guarantees, including</w:t>
      </w:r>
      <w:r>
        <w:rPr>
          <w:spacing w:val="35"/>
        </w:rPr>
        <w:t xml:space="preserve"> </w:t>
      </w:r>
      <w:r>
        <w:t>mortgage rights, fiduciary transfers, and promises, p</w:t>
      </w:r>
      <w:r>
        <w:t>rovide strong legal enforceability, supported by established doctrines and explicit procedural frameworks. Nonetheless, their efficacy frequently surpasses the procedural intricacies and restricted enforceability of personal guarantees, which are susceptib</w:t>
      </w:r>
      <w:r>
        <w:t>le to judicial variability</w:t>
      </w:r>
      <w:r>
        <w:rPr>
          <w:spacing w:val="35"/>
        </w:rPr>
        <w:t xml:space="preserve"> </w:t>
      </w:r>
      <w:r>
        <w:t>and disparities in power between debtors and guarantors. The categorization of collateral as mobile or immovable, albeit legally requisite, nevertheless exacerbates execution inconsistencies, especially in the absence of standard</w:t>
      </w:r>
      <w:r>
        <w:t>ized enforcement</w:t>
      </w:r>
      <w:r>
        <w:rPr>
          <w:spacing w:val="-6"/>
        </w:rPr>
        <w:t xml:space="preserve"> </w:t>
      </w:r>
      <w:r>
        <w:t>protocols.</w:t>
      </w:r>
    </w:p>
    <w:p w:rsidR="00143FDB" w:rsidRDefault="006A44E3">
      <w:pPr>
        <w:pStyle w:val="BodyText"/>
        <w:spacing w:line="276" w:lineRule="auto"/>
        <w:ind w:right="61" w:firstLine="720"/>
      </w:pPr>
      <w:r>
        <w:t>The findings indicate the necessity for a more cohesive and equitable legal framework that transcends mere formal legality in favor of substantive protection. Legal reform must rectify procedural deficiencies</w:t>
      </w:r>
      <w:r>
        <w:rPr>
          <w:spacing w:val="-14"/>
        </w:rPr>
        <w:t xml:space="preserve"> </w:t>
      </w:r>
      <w:r>
        <w:t>in</w:t>
      </w:r>
      <w:r>
        <w:rPr>
          <w:spacing w:val="-14"/>
        </w:rPr>
        <w:t xml:space="preserve"> </w:t>
      </w:r>
      <w:r>
        <w:t>the</w:t>
      </w:r>
      <w:r>
        <w:rPr>
          <w:spacing w:val="-14"/>
        </w:rPr>
        <w:t xml:space="preserve"> </w:t>
      </w:r>
      <w:r>
        <w:t>enforcement</w:t>
      </w:r>
      <w:r>
        <w:rPr>
          <w:spacing w:val="-13"/>
        </w:rPr>
        <w:t xml:space="preserve"> </w:t>
      </w:r>
      <w:r>
        <w:t>of</w:t>
      </w:r>
      <w:r>
        <w:rPr>
          <w:spacing w:val="-14"/>
        </w:rPr>
        <w:t xml:space="preserve"> </w:t>
      </w:r>
      <w:r>
        <w:t>fiduciary</w:t>
      </w:r>
      <w:r>
        <w:rPr>
          <w:spacing w:val="-14"/>
        </w:rPr>
        <w:t xml:space="preserve"> </w:t>
      </w:r>
      <w:r>
        <w:t>and</w:t>
      </w:r>
      <w:r>
        <w:rPr>
          <w:spacing w:val="-14"/>
        </w:rPr>
        <w:t xml:space="preserve"> </w:t>
      </w:r>
      <w:r>
        <w:t>personal</w:t>
      </w:r>
      <w:r>
        <w:rPr>
          <w:spacing w:val="-13"/>
        </w:rPr>
        <w:t xml:space="preserve"> </w:t>
      </w:r>
      <w:r>
        <w:t>guarantees,</w:t>
      </w:r>
      <w:r>
        <w:rPr>
          <w:spacing w:val="-14"/>
        </w:rPr>
        <w:t xml:space="preserve"> </w:t>
      </w:r>
      <w:r>
        <w:t>enhance</w:t>
      </w:r>
      <w:r>
        <w:rPr>
          <w:spacing w:val="-14"/>
        </w:rPr>
        <w:t xml:space="preserve"> </w:t>
      </w:r>
      <w:r>
        <w:t>access</w:t>
      </w:r>
      <w:r>
        <w:rPr>
          <w:spacing w:val="-14"/>
        </w:rPr>
        <w:t xml:space="preserve"> </w:t>
      </w:r>
      <w:r>
        <w:t>to</w:t>
      </w:r>
      <w:r>
        <w:rPr>
          <w:spacing w:val="-13"/>
        </w:rPr>
        <w:t xml:space="preserve"> </w:t>
      </w:r>
      <w:r>
        <w:t>transparent</w:t>
      </w:r>
      <w:r>
        <w:rPr>
          <w:spacing w:val="-14"/>
        </w:rPr>
        <w:t xml:space="preserve"> </w:t>
      </w:r>
      <w:r>
        <w:t>execution methods,</w:t>
      </w:r>
      <w:r>
        <w:rPr>
          <w:spacing w:val="-14"/>
        </w:rPr>
        <w:t xml:space="preserve"> </w:t>
      </w:r>
      <w:r>
        <w:t>and</w:t>
      </w:r>
      <w:r>
        <w:rPr>
          <w:spacing w:val="-14"/>
        </w:rPr>
        <w:t xml:space="preserve"> </w:t>
      </w:r>
      <w:r>
        <w:t>encourage</w:t>
      </w:r>
      <w:r>
        <w:rPr>
          <w:spacing w:val="-14"/>
        </w:rPr>
        <w:t xml:space="preserve"> </w:t>
      </w:r>
      <w:r>
        <w:t>a</w:t>
      </w:r>
      <w:r>
        <w:rPr>
          <w:spacing w:val="-13"/>
        </w:rPr>
        <w:t xml:space="preserve"> </w:t>
      </w:r>
      <w:r>
        <w:t>reassessment</w:t>
      </w:r>
      <w:r>
        <w:rPr>
          <w:spacing w:val="-14"/>
        </w:rPr>
        <w:t xml:space="preserve"> </w:t>
      </w:r>
      <w:r>
        <w:t>of</w:t>
      </w:r>
      <w:r>
        <w:rPr>
          <w:spacing w:val="-14"/>
        </w:rPr>
        <w:t xml:space="preserve"> </w:t>
      </w:r>
      <w:r>
        <w:t>creditor</w:t>
      </w:r>
      <w:r>
        <w:rPr>
          <w:spacing w:val="-13"/>
        </w:rPr>
        <w:t xml:space="preserve"> </w:t>
      </w:r>
      <w:r>
        <w:t>priorities</w:t>
      </w:r>
      <w:r>
        <w:rPr>
          <w:spacing w:val="-13"/>
        </w:rPr>
        <w:t xml:space="preserve"> </w:t>
      </w:r>
      <w:r>
        <w:t>in</w:t>
      </w:r>
      <w:r>
        <w:rPr>
          <w:spacing w:val="-14"/>
        </w:rPr>
        <w:t xml:space="preserve"> </w:t>
      </w:r>
      <w:r>
        <w:t>relation</w:t>
      </w:r>
      <w:r>
        <w:rPr>
          <w:spacing w:val="-13"/>
        </w:rPr>
        <w:t xml:space="preserve"> </w:t>
      </w:r>
      <w:r>
        <w:t>to</w:t>
      </w:r>
      <w:r>
        <w:rPr>
          <w:spacing w:val="-14"/>
        </w:rPr>
        <w:t xml:space="preserve"> </w:t>
      </w:r>
      <w:r>
        <w:t>debtor</w:t>
      </w:r>
      <w:r>
        <w:rPr>
          <w:spacing w:val="-13"/>
        </w:rPr>
        <w:t xml:space="preserve"> </w:t>
      </w:r>
      <w:r>
        <w:t>equity.</w:t>
      </w:r>
      <w:r>
        <w:rPr>
          <w:spacing w:val="-14"/>
        </w:rPr>
        <w:t xml:space="preserve"> </w:t>
      </w:r>
      <w:r>
        <w:t>Subsequent</w:t>
      </w:r>
      <w:r>
        <w:rPr>
          <w:spacing w:val="-13"/>
        </w:rPr>
        <w:t xml:space="preserve"> </w:t>
      </w:r>
      <w:r>
        <w:t>research may</w:t>
      </w:r>
      <w:r>
        <w:rPr>
          <w:spacing w:val="-12"/>
        </w:rPr>
        <w:t xml:space="preserve"> </w:t>
      </w:r>
      <w:r>
        <w:t>investigate</w:t>
      </w:r>
      <w:r>
        <w:rPr>
          <w:spacing w:val="13"/>
        </w:rPr>
        <w:t xml:space="preserve"> </w:t>
      </w:r>
      <w:r>
        <w:t>comparative</w:t>
      </w:r>
      <w:r>
        <w:rPr>
          <w:spacing w:val="-3"/>
        </w:rPr>
        <w:t xml:space="preserve"> </w:t>
      </w:r>
      <w:r>
        <w:t>frameworks</w:t>
      </w:r>
      <w:r>
        <w:rPr>
          <w:spacing w:val="-8"/>
        </w:rPr>
        <w:t xml:space="preserve"> </w:t>
      </w:r>
      <w:r>
        <w:t>or</w:t>
      </w:r>
      <w:r>
        <w:rPr>
          <w:spacing w:val="-9"/>
        </w:rPr>
        <w:t xml:space="preserve"> </w:t>
      </w:r>
      <w:r>
        <w:t>empirical</w:t>
      </w:r>
      <w:r>
        <w:rPr>
          <w:spacing w:val="-2"/>
        </w:rPr>
        <w:t xml:space="preserve"> </w:t>
      </w:r>
      <w:r>
        <w:t>results</w:t>
      </w:r>
      <w:r>
        <w:rPr>
          <w:spacing w:val="-7"/>
        </w:rPr>
        <w:t xml:space="preserve"> </w:t>
      </w:r>
      <w:r>
        <w:t>of</w:t>
      </w:r>
      <w:r>
        <w:rPr>
          <w:spacing w:val="-5"/>
        </w:rPr>
        <w:t xml:space="preserve"> </w:t>
      </w:r>
      <w:r>
        <w:t>collateral</w:t>
      </w:r>
      <w:r>
        <w:rPr>
          <w:spacing w:val="-4"/>
        </w:rPr>
        <w:t xml:space="preserve"> </w:t>
      </w:r>
      <w:r>
        <w:t>enforcement</w:t>
      </w:r>
      <w:r>
        <w:rPr>
          <w:spacing w:val="-7"/>
        </w:rPr>
        <w:t xml:space="preserve"> </w:t>
      </w:r>
      <w:r>
        <w:t>to</w:t>
      </w:r>
      <w:r>
        <w:rPr>
          <w:spacing w:val="-7"/>
        </w:rPr>
        <w:t xml:space="preserve"> </w:t>
      </w:r>
      <w:r>
        <w:t>enhance</w:t>
      </w:r>
      <w:r>
        <w:rPr>
          <w:spacing w:val="-6"/>
        </w:rPr>
        <w:t xml:space="preserve"> </w:t>
      </w:r>
      <w:r>
        <w:t>doctrinal and policy</w:t>
      </w:r>
      <w:r>
        <w:rPr>
          <w:spacing w:val="40"/>
        </w:rPr>
        <w:t xml:space="preserve"> </w:t>
      </w:r>
      <w:r>
        <w:t>advancement in Indonesia’s credit law.</w:t>
      </w:r>
    </w:p>
    <w:p w:rsidR="00143FDB" w:rsidRDefault="00143FDB">
      <w:pPr>
        <w:pStyle w:val="BodyText"/>
        <w:spacing w:before="36"/>
        <w:ind w:left="0"/>
        <w:jc w:val="left"/>
      </w:pPr>
    </w:p>
    <w:p w:rsidR="00143FDB" w:rsidRDefault="006A44E3">
      <w:pPr>
        <w:pStyle w:val="Heading3"/>
        <w:spacing w:before="1"/>
        <w:ind w:left="113" w:firstLine="0"/>
        <w:jc w:val="left"/>
      </w:pPr>
      <w:r>
        <w:rPr>
          <w:spacing w:val="-2"/>
        </w:rPr>
        <w:t>Acknowledgements</w:t>
      </w:r>
    </w:p>
    <w:p w:rsidR="00143FDB" w:rsidRDefault="006A44E3">
      <w:pPr>
        <w:pStyle w:val="BodyText"/>
        <w:spacing w:before="11" w:line="276" w:lineRule="auto"/>
        <w:ind w:right="61"/>
      </w:pPr>
      <w:r>
        <w:t>The author would like to express heartfelt gratitude to his beloved children, Irwan Geofany Sidabariba, Junika Theresia Sidabariba, and Grace Ch</w:t>
      </w:r>
      <w:r>
        <w:t xml:space="preserve">aratia Sidabariba, for their unwavering love, support, and inspiration throughout the writing process. Their encouragement has been a source of strength and motivation. The author also extends sincere appreciation to colleagues at </w:t>
      </w:r>
      <w:r>
        <w:rPr>
          <w:i/>
        </w:rPr>
        <w:t>Kantor Hukum Dr. Burhan S</w:t>
      </w:r>
      <w:r>
        <w:rPr>
          <w:i/>
        </w:rPr>
        <w:t xml:space="preserve">idabariba &amp; Rekan </w:t>
      </w:r>
      <w:r>
        <w:t>for their invaluable assistance, moral support, and camaraderie, which greatly contributed to the completion</w:t>
      </w:r>
      <w:r>
        <w:rPr>
          <w:spacing w:val="40"/>
        </w:rPr>
        <w:t xml:space="preserve"> </w:t>
      </w:r>
      <w:r>
        <w:t>of this work.</w:t>
      </w:r>
    </w:p>
    <w:p w:rsidR="00143FDB" w:rsidRDefault="006A44E3">
      <w:pPr>
        <w:pStyle w:val="Heading3"/>
        <w:spacing w:before="33"/>
        <w:ind w:left="113" w:firstLine="0"/>
      </w:pPr>
      <w:r>
        <w:t>Disclosure</w:t>
      </w:r>
      <w:r>
        <w:rPr>
          <w:spacing w:val="18"/>
        </w:rPr>
        <w:t xml:space="preserve"> </w:t>
      </w:r>
      <w:r>
        <w:rPr>
          <w:spacing w:val="-2"/>
        </w:rPr>
        <w:t>statement</w:t>
      </w:r>
    </w:p>
    <w:p w:rsidR="00143FDB" w:rsidRDefault="006A44E3">
      <w:pPr>
        <w:pStyle w:val="BodyText"/>
        <w:spacing w:before="13"/>
      </w:pPr>
      <w:r>
        <w:t>The</w:t>
      </w:r>
      <w:r>
        <w:rPr>
          <w:spacing w:val="-17"/>
        </w:rPr>
        <w:t xml:space="preserve"> </w:t>
      </w:r>
      <w:r>
        <w:t>author</w:t>
      </w:r>
      <w:r>
        <w:rPr>
          <w:spacing w:val="4"/>
        </w:rPr>
        <w:t xml:space="preserve"> </w:t>
      </w:r>
      <w:r>
        <w:t>report</w:t>
      </w:r>
      <w:r>
        <w:rPr>
          <w:spacing w:val="-14"/>
        </w:rPr>
        <w:t xml:space="preserve"> </w:t>
      </w:r>
      <w:r>
        <w:t>there</w:t>
      </w:r>
      <w:r>
        <w:rPr>
          <w:spacing w:val="-13"/>
        </w:rPr>
        <w:t xml:space="preserve"> </w:t>
      </w:r>
      <w:r>
        <w:t>are</w:t>
      </w:r>
      <w:r>
        <w:rPr>
          <w:spacing w:val="-14"/>
        </w:rPr>
        <w:t xml:space="preserve"> </w:t>
      </w:r>
      <w:r>
        <w:t>no</w:t>
      </w:r>
      <w:r>
        <w:rPr>
          <w:spacing w:val="-9"/>
        </w:rPr>
        <w:t xml:space="preserve"> </w:t>
      </w:r>
      <w:r>
        <w:t>competing</w:t>
      </w:r>
      <w:r>
        <w:rPr>
          <w:spacing w:val="15"/>
        </w:rPr>
        <w:t xml:space="preserve"> </w:t>
      </w:r>
      <w:r>
        <w:t>interests</w:t>
      </w:r>
      <w:r>
        <w:rPr>
          <w:spacing w:val="-14"/>
        </w:rPr>
        <w:t xml:space="preserve"> </w:t>
      </w:r>
      <w:r>
        <w:t>to</w:t>
      </w:r>
      <w:r>
        <w:rPr>
          <w:spacing w:val="4"/>
        </w:rPr>
        <w:t xml:space="preserve"> </w:t>
      </w:r>
      <w:r>
        <w:rPr>
          <w:spacing w:val="-2"/>
        </w:rPr>
        <w:t>declare.</w:t>
      </w:r>
    </w:p>
    <w:p w:rsidR="00143FDB" w:rsidRDefault="00143FDB">
      <w:pPr>
        <w:pStyle w:val="BodyText"/>
        <w:spacing w:before="99"/>
        <w:ind w:left="0"/>
        <w:jc w:val="left"/>
      </w:pPr>
    </w:p>
    <w:p w:rsidR="00143FDB" w:rsidRDefault="006A44E3">
      <w:pPr>
        <w:pStyle w:val="Heading2"/>
      </w:pPr>
      <w:r>
        <w:rPr>
          <w:spacing w:val="-2"/>
        </w:rPr>
        <w:t>REFERENCES</w:t>
      </w:r>
    </w:p>
    <w:p w:rsidR="00143FDB" w:rsidRDefault="006A44E3">
      <w:pPr>
        <w:pStyle w:val="BodyText"/>
        <w:spacing w:before="14" w:line="278" w:lineRule="auto"/>
        <w:ind w:left="833" w:right="68" w:hanging="720"/>
      </w:pPr>
      <w:r>
        <w:t>Abubakar,</w:t>
      </w:r>
      <w:r>
        <w:rPr>
          <w:spacing w:val="-9"/>
        </w:rPr>
        <w:t xml:space="preserve"> </w:t>
      </w:r>
      <w:r>
        <w:t>L.,</w:t>
      </w:r>
      <w:r>
        <w:rPr>
          <w:spacing w:val="-10"/>
        </w:rPr>
        <w:t xml:space="preserve"> </w:t>
      </w:r>
      <w:r>
        <w:t>&amp;</w:t>
      </w:r>
      <w:r>
        <w:rPr>
          <w:spacing w:val="-11"/>
        </w:rPr>
        <w:t xml:space="preserve"> </w:t>
      </w:r>
      <w:r>
        <w:t>Handayani,</w:t>
      </w:r>
      <w:r>
        <w:rPr>
          <w:spacing w:val="-9"/>
        </w:rPr>
        <w:t xml:space="preserve"> </w:t>
      </w:r>
      <w:r>
        <w:t>T.</w:t>
      </w:r>
      <w:r>
        <w:rPr>
          <w:spacing w:val="-12"/>
        </w:rPr>
        <w:t xml:space="preserve"> </w:t>
      </w:r>
      <w:r>
        <w:t>(2023).</w:t>
      </w:r>
      <w:r>
        <w:rPr>
          <w:spacing w:val="-4"/>
        </w:rPr>
        <w:t xml:space="preserve"> </w:t>
      </w:r>
      <w:r>
        <w:t>Enhancing</w:t>
      </w:r>
      <w:r>
        <w:rPr>
          <w:spacing w:val="-5"/>
        </w:rPr>
        <w:t xml:space="preserve"> </w:t>
      </w:r>
      <w:r>
        <w:t>Consumer</w:t>
      </w:r>
      <w:r>
        <w:rPr>
          <w:spacing w:val="-7"/>
        </w:rPr>
        <w:t xml:space="preserve"> </w:t>
      </w:r>
      <w:r>
        <w:t>Protection</w:t>
      </w:r>
      <w:r>
        <w:rPr>
          <w:spacing w:val="-9"/>
        </w:rPr>
        <w:t xml:space="preserve"> </w:t>
      </w:r>
      <w:r>
        <w:t>in</w:t>
      </w:r>
      <w:r>
        <w:rPr>
          <w:spacing w:val="-2"/>
        </w:rPr>
        <w:t xml:space="preserve"> </w:t>
      </w:r>
      <w:r>
        <w:t>the</w:t>
      </w:r>
      <w:r>
        <w:rPr>
          <w:spacing w:val="-8"/>
        </w:rPr>
        <w:t xml:space="preserve"> </w:t>
      </w:r>
      <w:r>
        <w:t>Indonesian</w:t>
      </w:r>
      <w:r>
        <w:rPr>
          <w:spacing w:val="-9"/>
        </w:rPr>
        <w:t xml:space="preserve"> </w:t>
      </w:r>
      <w:r>
        <w:t>Financial</w:t>
      </w:r>
      <w:r>
        <w:rPr>
          <w:spacing w:val="-1"/>
        </w:rPr>
        <w:t xml:space="preserve"> </w:t>
      </w:r>
      <w:r>
        <w:t xml:space="preserve">Service Sector through the Utilization of Standardized Contracts. </w:t>
      </w:r>
      <w:r>
        <w:rPr>
          <w:i/>
        </w:rPr>
        <w:t>Yustisia</w:t>
      </w:r>
      <w:r>
        <w:t xml:space="preserve">, </w:t>
      </w:r>
      <w:r>
        <w:rPr>
          <w:i/>
        </w:rPr>
        <w:t>12</w:t>
      </w:r>
      <w:r>
        <w:t xml:space="preserve">(2), 153–167. Scopus. </w:t>
      </w:r>
      <w:r>
        <w:rPr>
          <w:spacing w:val="-2"/>
        </w:rPr>
        <w:t>https://doi.org/10.20961/yustisia.v12i2.61271</w:t>
      </w:r>
    </w:p>
    <w:p w:rsidR="00143FDB" w:rsidRDefault="006A44E3">
      <w:pPr>
        <w:pStyle w:val="BodyText"/>
        <w:spacing w:line="278" w:lineRule="auto"/>
        <w:ind w:left="833" w:right="74" w:hanging="720"/>
      </w:pPr>
      <w:r>
        <w:t>Afwa, U., Sutrisno, P. A., &amp; N</w:t>
      </w:r>
      <w:r>
        <w:t xml:space="preserve">ordin, R. (2024). Implementation of Prudential Banking Principles: State Responsibility in Combating Banking Crimes in Indonesia. </w:t>
      </w:r>
      <w:r>
        <w:rPr>
          <w:i/>
        </w:rPr>
        <w:t>Volksgeist: Jurnal Ilmu Hukum Dan Konstitusi</w:t>
      </w:r>
      <w:r>
        <w:t xml:space="preserve">, </w:t>
      </w:r>
      <w:r>
        <w:rPr>
          <w:i/>
        </w:rPr>
        <w:t>7</w:t>
      </w:r>
      <w:r>
        <w:t>(2), 341–359. Scopus. https://doi.org/10.24090/volksgeist.v7i2.12132</w:t>
      </w:r>
    </w:p>
    <w:p w:rsidR="00143FDB" w:rsidRDefault="006A44E3">
      <w:pPr>
        <w:spacing w:line="271" w:lineRule="auto"/>
        <w:ind w:left="833" w:right="75" w:hanging="720"/>
        <w:jc w:val="both"/>
      </w:pPr>
      <w:r>
        <w:t>Ahmadi, M.</w:t>
      </w:r>
      <w:r>
        <w:t xml:space="preserve"> H., Handayani, I. G. A. K. R., &amp; Karjoko, L. (2019). Problems in law of mortgage right law number</w:t>
      </w:r>
      <w:r>
        <w:rPr>
          <w:spacing w:val="40"/>
        </w:rPr>
        <w:t xml:space="preserve"> </w:t>
      </w:r>
      <w:r>
        <w:t>4</w:t>
      </w:r>
      <w:r>
        <w:rPr>
          <w:spacing w:val="30"/>
        </w:rPr>
        <w:t xml:space="preserve"> </w:t>
      </w:r>
      <w:r>
        <w:t>Tahun</w:t>
      </w:r>
      <w:r>
        <w:rPr>
          <w:spacing w:val="33"/>
        </w:rPr>
        <w:t xml:space="preserve"> </w:t>
      </w:r>
      <w:r>
        <w:t>1997.</w:t>
      </w:r>
      <w:r>
        <w:rPr>
          <w:spacing w:val="40"/>
        </w:rPr>
        <w:t xml:space="preserve"> </w:t>
      </w:r>
      <w:r>
        <w:rPr>
          <w:i/>
        </w:rPr>
        <w:t>International</w:t>
      </w:r>
      <w:r>
        <w:rPr>
          <w:i/>
          <w:spacing w:val="-1"/>
        </w:rPr>
        <w:t xml:space="preserve"> </w:t>
      </w:r>
      <w:r>
        <w:rPr>
          <w:i/>
        </w:rPr>
        <w:t>Journal</w:t>
      </w:r>
      <w:r>
        <w:rPr>
          <w:i/>
          <w:spacing w:val="-1"/>
        </w:rPr>
        <w:t xml:space="preserve"> </w:t>
      </w:r>
      <w:r>
        <w:rPr>
          <w:i/>
        </w:rPr>
        <w:t>of Advanced Science</w:t>
      </w:r>
      <w:r>
        <w:rPr>
          <w:i/>
          <w:spacing w:val="-9"/>
        </w:rPr>
        <w:t xml:space="preserve"> </w:t>
      </w:r>
      <w:r>
        <w:rPr>
          <w:i/>
        </w:rPr>
        <w:t>and Technology</w:t>
      </w:r>
      <w:r>
        <w:t>,</w:t>
      </w:r>
      <w:r>
        <w:rPr>
          <w:spacing w:val="-12"/>
        </w:rPr>
        <w:t xml:space="preserve"> </w:t>
      </w:r>
      <w:r>
        <w:rPr>
          <w:i/>
        </w:rPr>
        <w:t>28</w:t>
      </w:r>
      <w:r>
        <w:t>(20), 321–</w:t>
      </w:r>
    </w:p>
    <w:p w:rsidR="00143FDB" w:rsidRDefault="006A44E3">
      <w:pPr>
        <w:pStyle w:val="BodyText"/>
        <w:ind w:left="833"/>
      </w:pPr>
      <w:r>
        <w:t>324.</w:t>
      </w:r>
      <w:r>
        <w:rPr>
          <w:spacing w:val="-12"/>
        </w:rPr>
        <w:t xml:space="preserve"> </w:t>
      </w:r>
      <w:r>
        <w:rPr>
          <w:spacing w:val="-2"/>
        </w:rPr>
        <w:t>Scopus.</w:t>
      </w:r>
    </w:p>
    <w:p w:rsidR="00143FDB" w:rsidRDefault="006A44E3">
      <w:pPr>
        <w:spacing w:before="38" w:line="278" w:lineRule="auto"/>
        <w:ind w:left="833" w:right="61" w:hanging="720"/>
        <w:jc w:val="both"/>
      </w:pPr>
      <w:r>
        <w:t>Alauddin, R.,</w:t>
      </w:r>
      <w:r>
        <w:rPr>
          <w:spacing w:val="-12"/>
        </w:rPr>
        <w:t xml:space="preserve"> </w:t>
      </w:r>
      <w:r>
        <w:t>Muhammad,</w:t>
      </w:r>
      <w:r>
        <w:rPr>
          <w:spacing w:val="-2"/>
        </w:rPr>
        <w:t xml:space="preserve"> </w:t>
      </w:r>
      <w:r>
        <w:t>T.</w:t>
      </w:r>
      <w:r>
        <w:rPr>
          <w:spacing w:val="-9"/>
        </w:rPr>
        <w:t xml:space="preserve"> </w:t>
      </w:r>
      <w:r>
        <w:t>B.,</w:t>
      </w:r>
      <w:r>
        <w:rPr>
          <w:spacing w:val="-10"/>
        </w:rPr>
        <w:t xml:space="preserve"> </w:t>
      </w:r>
      <w:r>
        <w:t>Alting, H.,</w:t>
      </w:r>
      <w:r>
        <w:rPr>
          <w:spacing w:val="-9"/>
        </w:rPr>
        <w:t xml:space="preserve"> </w:t>
      </w:r>
      <w:r>
        <w:t>&amp;</w:t>
      </w:r>
      <w:r>
        <w:rPr>
          <w:spacing w:val="-7"/>
        </w:rPr>
        <w:t xml:space="preserve"> </w:t>
      </w:r>
      <w:r>
        <w:t>Hanafi,</w:t>
      </w:r>
      <w:r>
        <w:rPr>
          <w:spacing w:val="-11"/>
        </w:rPr>
        <w:t xml:space="preserve"> </w:t>
      </w:r>
      <w:r>
        <w:t>F.</w:t>
      </w:r>
      <w:r>
        <w:rPr>
          <w:spacing w:val="-10"/>
        </w:rPr>
        <w:t xml:space="preserve"> </w:t>
      </w:r>
      <w:r>
        <w:t>(2021).</w:t>
      </w:r>
      <w:r>
        <w:rPr>
          <w:spacing w:val="-3"/>
        </w:rPr>
        <w:t xml:space="preserve"> </w:t>
      </w:r>
      <w:r>
        <w:t>Customer</w:t>
      </w:r>
      <w:r>
        <w:rPr>
          <w:spacing w:val="-8"/>
        </w:rPr>
        <w:t xml:space="preserve"> </w:t>
      </w:r>
      <w:r>
        <w:t>Legal</w:t>
      </w:r>
      <w:r>
        <w:rPr>
          <w:spacing w:val="-10"/>
        </w:rPr>
        <w:t xml:space="preserve"> </w:t>
      </w:r>
      <w:r>
        <w:t>Protection:</w:t>
      </w:r>
      <w:r>
        <w:rPr>
          <w:spacing w:val="-6"/>
        </w:rPr>
        <w:t xml:space="preserve"> </w:t>
      </w:r>
      <w:r>
        <w:t>Resolution of Online Purchase</w:t>
      </w:r>
      <w:r>
        <w:rPr>
          <w:spacing w:val="-4"/>
        </w:rPr>
        <w:t xml:space="preserve"> </w:t>
      </w:r>
      <w:r>
        <w:t>Disputes</w:t>
      </w:r>
      <w:r>
        <w:rPr>
          <w:spacing w:val="-7"/>
        </w:rPr>
        <w:t xml:space="preserve"> </w:t>
      </w:r>
      <w:r>
        <w:t>Based</w:t>
      </w:r>
      <w:r>
        <w:rPr>
          <w:spacing w:val="-5"/>
        </w:rPr>
        <w:t xml:space="preserve"> </w:t>
      </w:r>
      <w:r>
        <w:t>on</w:t>
      </w:r>
      <w:r>
        <w:rPr>
          <w:spacing w:val="-6"/>
        </w:rPr>
        <w:t xml:space="preserve"> </w:t>
      </w:r>
      <w:r>
        <w:t>NonGovernmental Organization</w:t>
      </w:r>
      <w:r>
        <w:rPr>
          <w:spacing w:val="24"/>
        </w:rPr>
        <w:t xml:space="preserve"> </w:t>
      </w:r>
      <w:r>
        <w:t>in</w:t>
      </w:r>
      <w:r>
        <w:rPr>
          <w:spacing w:val="-1"/>
        </w:rPr>
        <w:t xml:space="preserve"> </w:t>
      </w:r>
      <w:r>
        <w:t>Ternate,</w:t>
      </w:r>
      <w:r>
        <w:rPr>
          <w:spacing w:val="-7"/>
        </w:rPr>
        <w:t xml:space="preserve"> </w:t>
      </w:r>
      <w:r>
        <w:t xml:space="preserve">Indonesia. </w:t>
      </w:r>
      <w:r>
        <w:rPr>
          <w:i/>
        </w:rPr>
        <w:t>Review of</w:t>
      </w:r>
      <w:r>
        <w:rPr>
          <w:i/>
          <w:spacing w:val="72"/>
        </w:rPr>
        <w:t xml:space="preserve">   </w:t>
      </w:r>
      <w:r>
        <w:rPr>
          <w:i/>
        </w:rPr>
        <w:t>International</w:t>
      </w:r>
      <w:r>
        <w:rPr>
          <w:i/>
          <w:spacing w:val="80"/>
          <w:w w:val="150"/>
        </w:rPr>
        <w:t xml:space="preserve">  </w:t>
      </w:r>
      <w:r>
        <w:rPr>
          <w:i/>
        </w:rPr>
        <w:t>Geographical</w:t>
      </w:r>
      <w:r>
        <w:rPr>
          <w:i/>
          <w:spacing w:val="80"/>
          <w:w w:val="150"/>
        </w:rPr>
        <w:t xml:space="preserve">  </w:t>
      </w:r>
      <w:r>
        <w:rPr>
          <w:i/>
        </w:rPr>
        <w:t>Education</w:t>
      </w:r>
      <w:r>
        <w:rPr>
          <w:i/>
          <w:spacing w:val="80"/>
          <w:w w:val="150"/>
        </w:rPr>
        <w:t xml:space="preserve">  </w:t>
      </w:r>
      <w:r>
        <w:rPr>
          <w:i/>
        </w:rPr>
        <w:t>Online</w:t>
      </w:r>
      <w:r>
        <w:t>,</w:t>
      </w:r>
      <w:r>
        <w:rPr>
          <w:spacing w:val="80"/>
          <w:w w:val="150"/>
        </w:rPr>
        <w:t xml:space="preserve">  </w:t>
      </w:r>
      <w:r>
        <w:rPr>
          <w:i/>
        </w:rPr>
        <w:t>11</w:t>
      </w:r>
      <w:r>
        <w:t>(3),</w:t>
      </w:r>
      <w:r>
        <w:rPr>
          <w:spacing w:val="68"/>
        </w:rPr>
        <w:t xml:space="preserve">   </w:t>
      </w:r>
      <w:r>
        <w:t>547–555.</w:t>
      </w:r>
      <w:r>
        <w:rPr>
          <w:spacing w:val="80"/>
        </w:rPr>
        <w:t xml:space="preserve">   </w:t>
      </w:r>
      <w:r>
        <w:t>Scopus.</w:t>
      </w:r>
    </w:p>
    <w:p w:rsidR="00143FDB" w:rsidRDefault="00143FDB">
      <w:pPr>
        <w:spacing w:line="278" w:lineRule="auto"/>
        <w:jc w:val="both"/>
        <w:sectPr w:rsidR="00143FDB">
          <w:pgSz w:w="11920" w:h="16860"/>
          <w:pgMar w:top="1460" w:right="1133" w:bottom="2080" w:left="1133" w:header="282" w:footer="1831" w:gutter="0"/>
          <w:cols w:space="720"/>
        </w:sectPr>
      </w:pPr>
    </w:p>
    <w:p w:rsidR="00143FDB" w:rsidRDefault="006A44E3">
      <w:pPr>
        <w:pStyle w:val="BodyText"/>
        <w:spacing w:before="81"/>
        <w:ind w:left="833"/>
        <w:jc w:val="left"/>
      </w:pPr>
      <w:r>
        <w:rPr>
          <w:spacing w:val="-2"/>
        </w:rPr>
        <w:lastRenderedPageBreak/>
        <w:t>https://doi.or</w:t>
      </w:r>
      <w:r>
        <w:rPr>
          <w:spacing w:val="-2"/>
        </w:rPr>
        <w:t>g/10.33403/rigeo.800519</w:t>
      </w:r>
    </w:p>
    <w:p w:rsidR="00143FDB" w:rsidRDefault="006A44E3">
      <w:pPr>
        <w:pStyle w:val="BodyText"/>
        <w:spacing w:before="30" w:line="273" w:lineRule="auto"/>
        <w:ind w:left="833" w:right="59" w:hanging="720"/>
      </w:pPr>
      <w:r>
        <w:t xml:space="preserve">Alfons, M. (2024). Implementation of The Transfer of Home Ownership Credits Under The Law. </w:t>
      </w:r>
      <w:r>
        <w:rPr>
          <w:i/>
        </w:rPr>
        <w:t>Jurnal IUS</w:t>
      </w:r>
      <w:r>
        <w:rPr>
          <w:i/>
          <w:spacing w:val="-2"/>
        </w:rPr>
        <w:t xml:space="preserve"> </w:t>
      </w:r>
      <w:r>
        <w:rPr>
          <w:i/>
        </w:rPr>
        <w:t>Kajian</w:t>
      </w:r>
      <w:r>
        <w:rPr>
          <w:i/>
          <w:spacing w:val="-2"/>
        </w:rPr>
        <w:t xml:space="preserve"> </w:t>
      </w:r>
      <w:r>
        <w:rPr>
          <w:i/>
        </w:rPr>
        <w:t>Hukum</w:t>
      </w:r>
      <w:r>
        <w:rPr>
          <w:i/>
          <w:spacing w:val="-32"/>
        </w:rPr>
        <w:t xml:space="preserve"> </w:t>
      </w:r>
      <w:r>
        <w:rPr>
          <w:i/>
        </w:rPr>
        <w:t>Dan</w:t>
      </w:r>
      <w:r>
        <w:rPr>
          <w:i/>
          <w:spacing w:val="-2"/>
        </w:rPr>
        <w:t xml:space="preserve"> </w:t>
      </w:r>
      <w:r>
        <w:rPr>
          <w:i/>
        </w:rPr>
        <w:t>Keadilan</w:t>
      </w:r>
      <w:r>
        <w:t>,</w:t>
      </w:r>
      <w:r>
        <w:rPr>
          <w:spacing w:val="-29"/>
        </w:rPr>
        <w:t xml:space="preserve"> </w:t>
      </w:r>
      <w:r>
        <w:rPr>
          <w:i/>
        </w:rPr>
        <w:t>12</w:t>
      </w:r>
      <w:r>
        <w:t>(3),</w:t>
      </w:r>
      <w:r>
        <w:rPr>
          <w:spacing w:val="-29"/>
        </w:rPr>
        <w:t xml:space="preserve"> </w:t>
      </w:r>
      <w:r>
        <w:t>636–649. Scopus. https://doi.org/10.29303/ius.v12i3.1578</w:t>
      </w:r>
    </w:p>
    <w:p w:rsidR="00143FDB" w:rsidRDefault="006A44E3">
      <w:pPr>
        <w:spacing w:before="11" w:line="271" w:lineRule="auto"/>
        <w:ind w:left="833" w:right="75" w:hanging="720"/>
        <w:jc w:val="both"/>
      </w:pPr>
      <w:r>
        <w:t xml:space="preserve">Angeli, F. (2023). The Liability of The Banking Institute in the Over-Bebt of the Consumer and in the Company Crisis. </w:t>
      </w:r>
      <w:r>
        <w:rPr>
          <w:i/>
        </w:rPr>
        <w:t>Actualidad Juridica Iberoamericana</w:t>
      </w:r>
      <w:r>
        <w:t xml:space="preserve">, </w:t>
      </w:r>
      <w:r>
        <w:rPr>
          <w:i/>
        </w:rPr>
        <w:t>18</w:t>
      </w:r>
      <w:r>
        <w:t>, 1528–1545. Scopus.</w:t>
      </w:r>
    </w:p>
    <w:p w:rsidR="00143FDB" w:rsidRDefault="006A44E3">
      <w:pPr>
        <w:pStyle w:val="BodyText"/>
        <w:spacing w:before="14" w:line="271" w:lineRule="auto"/>
        <w:ind w:left="833" w:right="65" w:hanging="720"/>
      </w:pPr>
      <w:r>
        <w:t>Anggraeni, R. D., &amp; Imanuddin,</w:t>
      </w:r>
      <w:r>
        <w:rPr>
          <w:spacing w:val="36"/>
        </w:rPr>
        <w:t xml:space="preserve"> </w:t>
      </w:r>
      <w:r>
        <w:t>I. (2023). The Debtor’s Liability</w:t>
      </w:r>
      <w:r>
        <w:rPr>
          <w:spacing w:val="36"/>
        </w:rPr>
        <w:t xml:space="preserve"> </w:t>
      </w:r>
      <w:r>
        <w:t>for the Loadin</w:t>
      </w:r>
      <w:r>
        <w:t xml:space="preserve">g of Personal Security in Indonesia. </w:t>
      </w:r>
      <w:r>
        <w:rPr>
          <w:i/>
        </w:rPr>
        <w:t>Jurnal IUS Kajian Hukum Dan Keadilan</w:t>
      </w:r>
      <w:r>
        <w:t xml:space="preserve">, </w:t>
      </w:r>
      <w:r>
        <w:rPr>
          <w:i/>
        </w:rPr>
        <w:t>11</w:t>
      </w:r>
      <w:r>
        <w:t xml:space="preserve">(1), 17–30. Scopus. </w:t>
      </w:r>
      <w:r>
        <w:rPr>
          <w:spacing w:val="-2"/>
        </w:rPr>
        <w:t>https://doi.org/10.29303/ius.v11i1.1180</w:t>
      </w:r>
    </w:p>
    <w:p w:rsidR="00143FDB" w:rsidRDefault="006A44E3">
      <w:pPr>
        <w:pStyle w:val="BodyText"/>
        <w:spacing w:before="12" w:line="271" w:lineRule="auto"/>
        <w:ind w:left="833" w:right="82" w:hanging="720"/>
      </w:pPr>
      <w:r>
        <w:t xml:space="preserve">Azam, S., &amp; Harianto, D. (2020). The Undue Influence Doctrine and Its Function in Consumer Financing Cases. </w:t>
      </w:r>
      <w:r>
        <w:rPr>
          <w:i/>
        </w:rPr>
        <w:t>Jurnal Media Hukum</w:t>
      </w:r>
      <w:r>
        <w:t xml:space="preserve">, </w:t>
      </w:r>
      <w:r>
        <w:rPr>
          <w:i/>
        </w:rPr>
        <w:t>27</w:t>
      </w:r>
      <w:r>
        <w:t>(2), 240–251. Scopus. https://doi.org/10.18196/jmh.20200154</w:t>
      </w:r>
    </w:p>
    <w:p w:rsidR="00143FDB" w:rsidRDefault="006A44E3">
      <w:pPr>
        <w:pStyle w:val="BodyText"/>
        <w:spacing w:before="13" w:line="276" w:lineRule="auto"/>
        <w:ind w:left="833" w:right="65" w:hanging="720"/>
      </w:pPr>
      <w:r>
        <w:t>Badriyah,</w:t>
      </w:r>
      <w:r>
        <w:rPr>
          <w:spacing w:val="-14"/>
        </w:rPr>
        <w:t xml:space="preserve"> </w:t>
      </w:r>
      <w:r>
        <w:t>S.</w:t>
      </w:r>
      <w:r>
        <w:rPr>
          <w:spacing w:val="-14"/>
        </w:rPr>
        <w:t xml:space="preserve"> </w:t>
      </w:r>
      <w:r>
        <w:t>M.,</w:t>
      </w:r>
      <w:r>
        <w:rPr>
          <w:spacing w:val="-14"/>
        </w:rPr>
        <w:t xml:space="preserve"> </w:t>
      </w:r>
      <w:r>
        <w:t>Suharto,</w:t>
      </w:r>
      <w:r>
        <w:rPr>
          <w:spacing w:val="-13"/>
        </w:rPr>
        <w:t xml:space="preserve"> </w:t>
      </w:r>
      <w:r>
        <w:t>R.,</w:t>
      </w:r>
      <w:r>
        <w:rPr>
          <w:spacing w:val="-14"/>
        </w:rPr>
        <w:t xml:space="preserve"> </w:t>
      </w:r>
      <w:r>
        <w:t>Saraswati,</w:t>
      </w:r>
      <w:r>
        <w:rPr>
          <w:spacing w:val="-12"/>
        </w:rPr>
        <w:t xml:space="preserve"> </w:t>
      </w:r>
      <w:r>
        <w:t>R.,</w:t>
      </w:r>
      <w:r>
        <w:rPr>
          <w:spacing w:val="-14"/>
        </w:rPr>
        <w:t xml:space="preserve"> </w:t>
      </w:r>
      <w:r>
        <w:t>&amp;</w:t>
      </w:r>
      <w:r>
        <w:rPr>
          <w:spacing w:val="-12"/>
        </w:rPr>
        <w:t xml:space="preserve"> </w:t>
      </w:r>
      <w:r>
        <w:t>Wafi,</w:t>
      </w:r>
      <w:r>
        <w:rPr>
          <w:spacing w:val="-13"/>
        </w:rPr>
        <w:t xml:space="preserve"> </w:t>
      </w:r>
      <w:r>
        <w:t>M.</w:t>
      </w:r>
      <w:r>
        <w:rPr>
          <w:spacing w:val="-14"/>
        </w:rPr>
        <w:t xml:space="preserve"> </w:t>
      </w:r>
      <w:r>
        <w:t>S.</w:t>
      </w:r>
      <w:r>
        <w:rPr>
          <w:spacing w:val="-13"/>
        </w:rPr>
        <w:t xml:space="preserve"> </w:t>
      </w:r>
      <w:r>
        <w:t>(2021).</w:t>
      </w:r>
      <w:r>
        <w:rPr>
          <w:spacing w:val="-11"/>
        </w:rPr>
        <w:t xml:space="preserve"> </w:t>
      </w:r>
      <w:r>
        <w:t>Implementation</w:t>
      </w:r>
      <w:r>
        <w:rPr>
          <w:spacing w:val="-13"/>
        </w:rPr>
        <w:t xml:space="preserve"> </w:t>
      </w:r>
      <w:r>
        <w:t>of</w:t>
      </w:r>
      <w:r>
        <w:rPr>
          <w:spacing w:val="-13"/>
        </w:rPr>
        <w:t xml:space="preserve"> </w:t>
      </w:r>
      <w:r>
        <w:t>the</w:t>
      </w:r>
      <w:r>
        <w:rPr>
          <w:spacing w:val="-14"/>
        </w:rPr>
        <w:t xml:space="preserve"> </w:t>
      </w:r>
      <w:r>
        <w:t>constitutional</w:t>
      </w:r>
      <w:r>
        <w:rPr>
          <w:spacing w:val="9"/>
        </w:rPr>
        <w:t xml:space="preserve"> </w:t>
      </w:r>
      <w:r>
        <w:t>court decision regarding the execution of fiduciary guarantees and inc</w:t>
      </w:r>
      <w:r>
        <w:t xml:space="preserve">lusion of default clauses in Indonesia. </w:t>
      </w:r>
      <w:r>
        <w:rPr>
          <w:i/>
        </w:rPr>
        <w:t>International Journal of Criminology and Sociology</w:t>
      </w:r>
      <w:r>
        <w:t xml:space="preserve">, </w:t>
      </w:r>
      <w:r>
        <w:rPr>
          <w:i/>
        </w:rPr>
        <w:t>10</w:t>
      </w:r>
      <w:r>
        <w:t xml:space="preserve">, 33–38. Scopus. </w:t>
      </w:r>
      <w:r>
        <w:rPr>
          <w:spacing w:val="-2"/>
        </w:rPr>
        <w:t>https://doi.org/10.6000/1929-4409.2021.10.05</w:t>
      </w:r>
    </w:p>
    <w:p w:rsidR="00143FDB" w:rsidRDefault="006A44E3">
      <w:pPr>
        <w:pStyle w:val="BodyText"/>
        <w:spacing w:line="278" w:lineRule="auto"/>
        <w:ind w:left="833" w:right="64" w:hanging="720"/>
      </w:pPr>
      <w:r>
        <w:t>Bahar,</w:t>
      </w:r>
      <w:r>
        <w:rPr>
          <w:spacing w:val="-14"/>
        </w:rPr>
        <w:t xml:space="preserve"> </w:t>
      </w:r>
      <w:r>
        <w:t>T.</w:t>
      </w:r>
      <w:r>
        <w:rPr>
          <w:spacing w:val="-12"/>
        </w:rPr>
        <w:t xml:space="preserve"> </w:t>
      </w:r>
      <w:r>
        <w:t>M.</w:t>
      </w:r>
      <w:r>
        <w:rPr>
          <w:spacing w:val="-12"/>
        </w:rPr>
        <w:t xml:space="preserve"> </w:t>
      </w:r>
      <w:r>
        <w:t>A.,</w:t>
      </w:r>
      <w:r>
        <w:rPr>
          <w:spacing w:val="-12"/>
        </w:rPr>
        <w:t xml:space="preserve"> </w:t>
      </w:r>
      <w:r>
        <w:t>Kamello,</w:t>
      </w:r>
      <w:r>
        <w:rPr>
          <w:spacing w:val="-13"/>
        </w:rPr>
        <w:t xml:space="preserve"> </w:t>
      </w:r>
      <w:r>
        <w:t>T.,</w:t>
      </w:r>
      <w:r>
        <w:rPr>
          <w:spacing w:val="-12"/>
        </w:rPr>
        <w:t xml:space="preserve"> </w:t>
      </w:r>
      <w:r>
        <w:t>Suhadi,</w:t>
      </w:r>
      <w:r>
        <w:rPr>
          <w:spacing w:val="-11"/>
        </w:rPr>
        <w:t xml:space="preserve"> </w:t>
      </w:r>
      <w:r>
        <w:t>S.,</w:t>
      </w:r>
      <w:r>
        <w:rPr>
          <w:spacing w:val="-12"/>
        </w:rPr>
        <w:t xml:space="preserve"> </w:t>
      </w:r>
      <w:r>
        <w:t>Saidin,</w:t>
      </w:r>
      <w:r>
        <w:rPr>
          <w:spacing w:val="14"/>
        </w:rPr>
        <w:t xml:space="preserve"> </w:t>
      </w:r>
      <w:r>
        <w:t>S.,</w:t>
      </w:r>
      <w:r>
        <w:rPr>
          <w:spacing w:val="-9"/>
        </w:rPr>
        <w:t xml:space="preserve"> </w:t>
      </w:r>
      <w:r>
        <w:t>&amp;</w:t>
      </w:r>
      <w:r>
        <w:rPr>
          <w:spacing w:val="-13"/>
        </w:rPr>
        <w:t xml:space="preserve"> </w:t>
      </w:r>
      <w:r>
        <w:t>Trihasworo,</w:t>
      </w:r>
      <w:r>
        <w:rPr>
          <w:spacing w:val="-2"/>
        </w:rPr>
        <w:t xml:space="preserve"> </w:t>
      </w:r>
      <w:r>
        <w:t>R.</w:t>
      </w:r>
      <w:r>
        <w:rPr>
          <w:spacing w:val="-12"/>
        </w:rPr>
        <w:t xml:space="preserve"> </w:t>
      </w:r>
      <w:r>
        <w:t>H.</w:t>
      </w:r>
      <w:r>
        <w:rPr>
          <w:spacing w:val="-10"/>
        </w:rPr>
        <w:t xml:space="preserve"> </w:t>
      </w:r>
      <w:r>
        <w:t>B.</w:t>
      </w:r>
      <w:r>
        <w:rPr>
          <w:spacing w:val="-11"/>
        </w:rPr>
        <w:t xml:space="preserve"> </w:t>
      </w:r>
      <w:r>
        <w:t>(2023).</w:t>
      </w:r>
      <w:r>
        <w:rPr>
          <w:spacing w:val="-2"/>
        </w:rPr>
        <w:t xml:space="preserve"> </w:t>
      </w:r>
      <w:r>
        <w:t>Contractual</w:t>
      </w:r>
      <w:r>
        <w:rPr>
          <w:spacing w:val="-10"/>
        </w:rPr>
        <w:t xml:space="preserve"> </w:t>
      </w:r>
      <w:r>
        <w:t xml:space="preserve">Obligations in Financing with Fiduciary Security in Indonesia in the Context of Justice. </w:t>
      </w:r>
      <w:r>
        <w:rPr>
          <w:i/>
        </w:rPr>
        <w:t>Lex Scientia Law Review</w:t>
      </w:r>
      <w:r>
        <w:t xml:space="preserve">, </w:t>
      </w:r>
      <w:r>
        <w:rPr>
          <w:i/>
        </w:rPr>
        <w:t>7</w:t>
      </w:r>
      <w:r>
        <w:t>(1), 215–248.</w:t>
      </w:r>
      <w:r>
        <w:rPr>
          <w:spacing w:val="40"/>
        </w:rPr>
        <w:t xml:space="preserve"> </w:t>
      </w:r>
      <w:r>
        <w:t>Scopus. https://doi.org/10.15294/lesrev.v7i1.69318</w:t>
      </w:r>
    </w:p>
    <w:p w:rsidR="00143FDB" w:rsidRDefault="006A44E3">
      <w:pPr>
        <w:spacing w:line="249" w:lineRule="exact"/>
        <w:ind w:left="113"/>
        <w:jc w:val="both"/>
        <w:rPr>
          <w:i/>
        </w:rPr>
      </w:pPr>
      <w:r>
        <w:t>Baxter,</w:t>
      </w:r>
      <w:r>
        <w:rPr>
          <w:spacing w:val="-12"/>
        </w:rPr>
        <w:t xml:space="preserve"> </w:t>
      </w:r>
      <w:r>
        <w:t>J.</w:t>
      </w:r>
      <w:r>
        <w:rPr>
          <w:spacing w:val="8"/>
        </w:rPr>
        <w:t xml:space="preserve"> </w:t>
      </w:r>
      <w:r>
        <w:t>(2019).</w:t>
      </w:r>
      <w:r>
        <w:rPr>
          <w:spacing w:val="43"/>
        </w:rPr>
        <w:t xml:space="preserve"> </w:t>
      </w:r>
      <w:r>
        <w:t>Content</w:t>
      </w:r>
      <w:r>
        <w:rPr>
          <w:spacing w:val="19"/>
        </w:rPr>
        <w:t xml:space="preserve"> </w:t>
      </w:r>
      <w:r>
        <w:t>Analysis.</w:t>
      </w:r>
      <w:r>
        <w:rPr>
          <w:spacing w:val="28"/>
        </w:rPr>
        <w:t xml:space="preserve"> </w:t>
      </w:r>
      <w:r>
        <w:t>In</w:t>
      </w:r>
      <w:r>
        <w:rPr>
          <w:spacing w:val="21"/>
        </w:rPr>
        <w:t xml:space="preserve"> </w:t>
      </w:r>
      <w:r>
        <w:rPr>
          <w:i/>
        </w:rPr>
        <w:t>International</w:t>
      </w:r>
      <w:r>
        <w:rPr>
          <w:i/>
          <w:spacing w:val="-12"/>
        </w:rPr>
        <w:t xml:space="preserve"> </w:t>
      </w:r>
      <w:r>
        <w:rPr>
          <w:i/>
        </w:rPr>
        <w:t>Encyclopedia</w:t>
      </w:r>
      <w:r>
        <w:rPr>
          <w:i/>
          <w:spacing w:val="-3"/>
        </w:rPr>
        <w:t xml:space="preserve"> </w:t>
      </w:r>
      <w:r>
        <w:rPr>
          <w:i/>
        </w:rPr>
        <w:t>of</w:t>
      </w:r>
      <w:r>
        <w:rPr>
          <w:i/>
          <w:spacing w:val="5"/>
        </w:rPr>
        <w:t xml:space="preserve"> </w:t>
      </w:r>
      <w:r>
        <w:rPr>
          <w:i/>
        </w:rPr>
        <w:t>Human</w:t>
      </w:r>
      <w:r>
        <w:rPr>
          <w:i/>
          <w:spacing w:val="-14"/>
        </w:rPr>
        <w:t xml:space="preserve"> </w:t>
      </w:r>
      <w:r>
        <w:rPr>
          <w:i/>
        </w:rPr>
        <w:t>Geography,</w:t>
      </w:r>
      <w:r>
        <w:rPr>
          <w:i/>
          <w:spacing w:val="-6"/>
        </w:rPr>
        <w:t xml:space="preserve"> </w:t>
      </w:r>
      <w:r>
        <w:rPr>
          <w:i/>
        </w:rPr>
        <w:t xml:space="preserve">Second </w:t>
      </w:r>
      <w:r>
        <w:rPr>
          <w:i/>
          <w:spacing w:val="-2"/>
        </w:rPr>
        <w:t>Edition</w:t>
      </w:r>
    </w:p>
    <w:p w:rsidR="00143FDB" w:rsidRDefault="006A44E3">
      <w:pPr>
        <w:pStyle w:val="BodyText"/>
        <w:spacing w:before="34"/>
        <w:ind w:left="833"/>
      </w:pPr>
      <w:r>
        <w:rPr>
          <w:spacing w:val="-2"/>
        </w:rPr>
        <w:t>(pp.</w:t>
      </w:r>
      <w:r>
        <w:rPr>
          <w:spacing w:val="-8"/>
        </w:rPr>
        <w:t xml:space="preserve"> </w:t>
      </w:r>
      <w:r>
        <w:rPr>
          <w:spacing w:val="-2"/>
        </w:rPr>
        <w:t>391–396).</w:t>
      </w:r>
      <w:r>
        <w:rPr>
          <w:spacing w:val="-7"/>
        </w:rPr>
        <w:t xml:space="preserve"> </w:t>
      </w:r>
      <w:r>
        <w:rPr>
          <w:spacing w:val="-2"/>
        </w:rPr>
        <w:t>Elsevier;</w:t>
      </w:r>
      <w:r>
        <w:rPr>
          <w:spacing w:val="1"/>
        </w:rPr>
        <w:t xml:space="preserve"> </w:t>
      </w:r>
      <w:r>
        <w:rPr>
          <w:spacing w:val="-2"/>
        </w:rPr>
        <w:t>Scopus.</w:t>
      </w:r>
      <w:r>
        <w:rPr>
          <w:spacing w:val="-7"/>
        </w:rPr>
        <w:t xml:space="preserve"> </w:t>
      </w:r>
      <w:r>
        <w:rPr>
          <w:spacing w:val="-2"/>
        </w:rPr>
        <w:t>https://doi.org/10.1016/B978-0-08-102295-5.10805-</w:t>
      </w:r>
      <w:r>
        <w:rPr>
          <w:spacing w:val="-10"/>
        </w:rPr>
        <w:t>4</w:t>
      </w:r>
    </w:p>
    <w:p w:rsidR="00143FDB" w:rsidRDefault="006A44E3">
      <w:pPr>
        <w:pStyle w:val="BodyText"/>
        <w:spacing w:before="30" w:line="278" w:lineRule="auto"/>
        <w:ind w:left="833" w:right="65" w:hanging="720"/>
      </w:pPr>
      <w:r>
        <w:t xml:space="preserve">Bayuaji, R., Abadi, S., &amp; Indriastuty, D. E. (2024). Ensuring Legal Certainty: The Disbursement of Bank Guarantees. </w:t>
      </w:r>
      <w:r>
        <w:rPr>
          <w:i/>
        </w:rPr>
        <w:t>Jurnal Hukum Bisnis Bonum Commune</w:t>
      </w:r>
      <w:r>
        <w:t xml:space="preserve">, </w:t>
      </w:r>
      <w:r>
        <w:rPr>
          <w:i/>
        </w:rPr>
        <w:t>7</w:t>
      </w:r>
      <w:r>
        <w:t xml:space="preserve">(1), 21–31. Scopus. </w:t>
      </w:r>
      <w:r>
        <w:rPr>
          <w:spacing w:val="-2"/>
        </w:rPr>
        <w:t>https://doi.org/10.30996/jhbbc.v7i1.9747</w:t>
      </w:r>
    </w:p>
    <w:p w:rsidR="00143FDB" w:rsidRDefault="006A44E3">
      <w:pPr>
        <w:spacing w:before="1" w:line="278" w:lineRule="auto"/>
        <w:ind w:left="833" w:right="55" w:hanging="720"/>
        <w:jc w:val="both"/>
      </w:pPr>
      <w:r>
        <w:t xml:space="preserve">Bell, G. F. (2018). Formation of contract and stipulations for third parties in Indonesia. In </w:t>
      </w:r>
      <w:r>
        <w:rPr>
          <w:i/>
        </w:rPr>
        <w:t xml:space="preserve">Stud. In the Contract Laws of Asia II: Formation and Third Party </w:t>
      </w:r>
      <w:r>
        <w:rPr>
          <w:i/>
        </w:rPr>
        <w:t xml:space="preserve">Beneficiaries </w:t>
      </w:r>
      <w:r>
        <w:t>(pp. 365–395). Oxford University</w:t>
      </w:r>
      <w:r>
        <w:rPr>
          <w:spacing w:val="40"/>
        </w:rPr>
        <w:t xml:space="preserve"> </w:t>
      </w:r>
      <w:r>
        <w:t>Press; Scopus. https://doi.org/10.1093/oso/9780198808114.003.0018</w:t>
      </w:r>
    </w:p>
    <w:p w:rsidR="00143FDB" w:rsidRDefault="006A44E3">
      <w:pPr>
        <w:pStyle w:val="BodyText"/>
        <w:spacing w:line="271" w:lineRule="auto"/>
        <w:ind w:left="833" w:right="66" w:hanging="720"/>
      </w:pPr>
      <w:r>
        <w:t>Bell,</w:t>
      </w:r>
      <w:r>
        <w:rPr>
          <w:spacing w:val="-4"/>
        </w:rPr>
        <w:t xml:space="preserve"> </w:t>
      </w:r>
      <w:r>
        <w:t>G.</w:t>
      </w:r>
      <w:r>
        <w:rPr>
          <w:spacing w:val="-7"/>
        </w:rPr>
        <w:t xml:space="preserve"> </w:t>
      </w:r>
      <w:r>
        <w:t>F.</w:t>
      </w:r>
      <w:r>
        <w:rPr>
          <w:spacing w:val="-3"/>
        </w:rPr>
        <w:t xml:space="preserve"> </w:t>
      </w:r>
      <w:r>
        <w:t>(2020).</w:t>
      </w:r>
      <w:r>
        <w:rPr>
          <w:spacing w:val="-1"/>
        </w:rPr>
        <w:t xml:space="preserve"> </w:t>
      </w:r>
      <w:r>
        <w:t>Contractual</w:t>
      </w:r>
      <w:r>
        <w:rPr>
          <w:spacing w:val="-5"/>
        </w:rPr>
        <w:t xml:space="preserve"> </w:t>
      </w:r>
      <w:r>
        <w:t>Interpretation</w:t>
      </w:r>
      <w:r>
        <w:rPr>
          <w:spacing w:val="-4"/>
        </w:rPr>
        <w:t xml:space="preserve"> </w:t>
      </w:r>
      <w:r>
        <w:t>and</w:t>
      </w:r>
      <w:r>
        <w:rPr>
          <w:spacing w:val="-7"/>
        </w:rPr>
        <w:t xml:space="preserve"> </w:t>
      </w:r>
      <w:r>
        <w:t>Protection</w:t>
      </w:r>
      <w:r>
        <w:rPr>
          <w:spacing w:val="-5"/>
        </w:rPr>
        <w:t xml:space="preserve"> </w:t>
      </w:r>
      <w:r>
        <w:t>against</w:t>
      </w:r>
      <w:r>
        <w:rPr>
          <w:spacing w:val="-4"/>
        </w:rPr>
        <w:t xml:space="preserve"> </w:t>
      </w:r>
      <w:r>
        <w:t>Unfair</w:t>
      </w:r>
      <w:r>
        <w:rPr>
          <w:spacing w:val="-4"/>
        </w:rPr>
        <w:t xml:space="preserve"> </w:t>
      </w:r>
      <w:r>
        <w:t>Terms</w:t>
      </w:r>
      <w:r>
        <w:rPr>
          <w:spacing w:val="-7"/>
        </w:rPr>
        <w:t xml:space="preserve"> </w:t>
      </w:r>
      <w:r>
        <w:t>in</w:t>
      </w:r>
      <w:r>
        <w:rPr>
          <w:spacing w:val="-1"/>
        </w:rPr>
        <w:t xml:space="preserve"> </w:t>
      </w:r>
      <w:r>
        <w:t>Indonesia.</w:t>
      </w:r>
      <w:r>
        <w:rPr>
          <w:spacing w:val="-1"/>
        </w:rPr>
        <w:t xml:space="preserve"> </w:t>
      </w:r>
      <w:r>
        <w:t xml:space="preserve">In </w:t>
      </w:r>
      <w:r>
        <w:rPr>
          <w:i/>
        </w:rPr>
        <w:t xml:space="preserve">Contents of Contracts and Unfair Terms </w:t>
      </w:r>
      <w:r>
        <w:t>(pp.</w:t>
      </w:r>
      <w:r>
        <w:t xml:space="preserve"> 135–160). Oxford University Press; Scopus. </w:t>
      </w:r>
      <w:r>
        <w:rPr>
          <w:spacing w:val="-2"/>
        </w:rPr>
        <w:t>https://doi.org/10.1093/oso/9780198850427.003.0007</w:t>
      </w:r>
    </w:p>
    <w:p w:rsidR="00143FDB" w:rsidRDefault="006A44E3">
      <w:pPr>
        <w:spacing w:before="7"/>
        <w:ind w:left="113"/>
        <w:jc w:val="both"/>
      </w:pPr>
      <w:r>
        <w:t>Bengoetxea,</w:t>
      </w:r>
      <w:r>
        <w:rPr>
          <w:spacing w:val="-28"/>
        </w:rPr>
        <w:t xml:space="preserve"> </w:t>
      </w:r>
      <w:r>
        <w:t>J.</w:t>
      </w:r>
      <w:r>
        <w:rPr>
          <w:spacing w:val="-14"/>
        </w:rPr>
        <w:t xml:space="preserve"> </w:t>
      </w:r>
      <w:r>
        <w:t>(2020).</w:t>
      </w:r>
      <w:r>
        <w:rPr>
          <w:spacing w:val="4"/>
        </w:rPr>
        <w:t xml:space="preserve"> </w:t>
      </w:r>
      <w:r>
        <w:t>Legal</w:t>
      </w:r>
      <w:r>
        <w:rPr>
          <w:spacing w:val="-27"/>
        </w:rPr>
        <w:t xml:space="preserve"> </w:t>
      </w:r>
      <w:r>
        <w:t>theory</w:t>
      </w:r>
      <w:r>
        <w:rPr>
          <w:spacing w:val="-7"/>
        </w:rPr>
        <w:t xml:space="preserve"> </w:t>
      </w:r>
      <w:r>
        <w:t>and</w:t>
      </w:r>
      <w:r>
        <w:rPr>
          <w:spacing w:val="-7"/>
        </w:rPr>
        <w:t xml:space="preserve"> </w:t>
      </w:r>
      <w:r>
        <w:t>sociology</w:t>
      </w:r>
      <w:r>
        <w:rPr>
          <w:spacing w:val="20"/>
        </w:rPr>
        <w:t xml:space="preserve"> </w:t>
      </w:r>
      <w:r>
        <w:t>of</w:t>
      </w:r>
      <w:r>
        <w:rPr>
          <w:spacing w:val="-11"/>
        </w:rPr>
        <w:t xml:space="preserve"> </w:t>
      </w:r>
      <w:r>
        <w:t>law.</w:t>
      </w:r>
      <w:r>
        <w:rPr>
          <w:spacing w:val="-10"/>
        </w:rPr>
        <w:t xml:space="preserve"> </w:t>
      </w:r>
      <w:r>
        <w:t>In</w:t>
      </w:r>
      <w:r>
        <w:rPr>
          <w:spacing w:val="5"/>
        </w:rPr>
        <w:t xml:space="preserve"> </w:t>
      </w:r>
      <w:r>
        <w:rPr>
          <w:i/>
        </w:rPr>
        <w:t>Research</w:t>
      </w:r>
      <w:r>
        <w:rPr>
          <w:i/>
          <w:spacing w:val="-19"/>
        </w:rPr>
        <w:t xml:space="preserve"> </w:t>
      </w:r>
      <w:r>
        <w:rPr>
          <w:i/>
        </w:rPr>
        <w:t>Handb.</w:t>
      </w:r>
      <w:r>
        <w:rPr>
          <w:i/>
          <w:spacing w:val="-21"/>
        </w:rPr>
        <w:t xml:space="preserve"> </w:t>
      </w:r>
      <w:r>
        <w:rPr>
          <w:i/>
        </w:rPr>
        <w:t>On</w:t>
      </w:r>
      <w:r>
        <w:rPr>
          <w:i/>
          <w:spacing w:val="-20"/>
        </w:rPr>
        <w:t xml:space="preserve"> </w:t>
      </w:r>
      <w:r>
        <w:rPr>
          <w:i/>
        </w:rPr>
        <w:t>the</w:t>
      </w:r>
      <w:r>
        <w:rPr>
          <w:i/>
          <w:spacing w:val="-9"/>
        </w:rPr>
        <w:t xml:space="preserve"> </w:t>
      </w:r>
      <w:r>
        <w:rPr>
          <w:i/>
        </w:rPr>
        <w:t>Sociology</w:t>
      </w:r>
      <w:r>
        <w:rPr>
          <w:i/>
          <w:spacing w:val="-9"/>
        </w:rPr>
        <w:t xml:space="preserve"> </w:t>
      </w:r>
      <w:r>
        <w:rPr>
          <w:i/>
        </w:rPr>
        <w:t>of</w:t>
      </w:r>
      <w:r>
        <w:rPr>
          <w:i/>
          <w:spacing w:val="-13"/>
        </w:rPr>
        <w:t xml:space="preserve"> </w:t>
      </w:r>
      <w:r>
        <w:rPr>
          <w:i/>
        </w:rPr>
        <w:t>Law</w:t>
      </w:r>
      <w:r>
        <w:rPr>
          <w:i/>
          <w:spacing w:val="-5"/>
        </w:rPr>
        <w:t xml:space="preserve"> </w:t>
      </w:r>
      <w:r>
        <w:rPr>
          <w:spacing w:val="-4"/>
        </w:rPr>
        <w:t>(pp.</w:t>
      </w:r>
    </w:p>
    <w:p w:rsidR="00143FDB" w:rsidRDefault="006A44E3">
      <w:pPr>
        <w:pStyle w:val="BodyText"/>
        <w:spacing w:before="35" w:line="283" w:lineRule="auto"/>
        <w:ind w:right="146" w:firstLine="720"/>
      </w:pPr>
      <w:r>
        <w:t>7–18). Edward Elgar Publishing</w:t>
      </w:r>
      <w:r>
        <w:rPr>
          <w:spacing w:val="40"/>
        </w:rPr>
        <w:t xml:space="preserve"> </w:t>
      </w:r>
      <w:r>
        <w:t>Ltd.; Scopus. https://doi.org/10.4337/9781789905182.00008 Bereza,</w:t>
      </w:r>
      <w:r>
        <w:rPr>
          <w:spacing w:val="-23"/>
        </w:rPr>
        <w:t xml:space="preserve"> </w:t>
      </w:r>
      <w:r>
        <w:t>A.,</w:t>
      </w:r>
      <w:r>
        <w:rPr>
          <w:spacing w:val="-22"/>
        </w:rPr>
        <w:t xml:space="preserve"> </w:t>
      </w:r>
      <w:r>
        <w:t>&amp;</w:t>
      </w:r>
      <w:r>
        <w:rPr>
          <w:spacing w:val="-16"/>
        </w:rPr>
        <w:t xml:space="preserve"> </w:t>
      </w:r>
      <w:r>
        <w:t>Bieniak,</w:t>
      </w:r>
      <w:r>
        <w:rPr>
          <w:spacing w:val="-14"/>
        </w:rPr>
        <w:t xml:space="preserve"> </w:t>
      </w:r>
      <w:r>
        <w:t>M.</w:t>
      </w:r>
      <w:r>
        <w:rPr>
          <w:spacing w:val="-14"/>
        </w:rPr>
        <w:t xml:space="preserve"> </w:t>
      </w:r>
      <w:r>
        <w:t>(2024).</w:t>
      </w:r>
      <w:r>
        <w:rPr>
          <w:spacing w:val="-10"/>
        </w:rPr>
        <w:t xml:space="preserve"> </w:t>
      </w:r>
      <w:r>
        <w:t>The</w:t>
      </w:r>
      <w:r>
        <w:rPr>
          <w:spacing w:val="-13"/>
        </w:rPr>
        <w:t xml:space="preserve"> </w:t>
      </w:r>
      <w:r>
        <w:t>Principle</w:t>
      </w:r>
      <w:r>
        <w:rPr>
          <w:spacing w:val="11"/>
        </w:rPr>
        <w:t xml:space="preserve"> </w:t>
      </w:r>
      <w:r>
        <w:t>of</w:t>
      </w:r>
      <w:r>
        <w:rPr>
          <w:spacing w:val="-4"/>
        </w:rPr>
        <w:t xml:space="preserve"> </w:t>
      </w:r>
      <w:r>
        <w:t>Freedom</w:t>
      </w:r>
      <w:r>
        <w:rPr>
          <w:spacing w:val="-25"/>
        </w:rPr>
        <w:t xml:space="preserve"> </w:t>
      </w:r>
      <w:r>
        <w:t>of</w:t>
      </w:r>
      <w:r>
        <w:rPr>
          <w:spacing w:val="-5"/>
        </w:rPr>
        <w:t xml:space="preserve"> </w:t>
      </w:r>
      <w:r>
        <w:t>Contract.</w:t>
      </w:r>
      <w:r>
        <w:rPr>
          <w:spacing w:val="-14"/>
        </w:rPr>
        <w:t xml:space="preserve"> </w:t>
      </w:r>
      <w:r>
        <w:t>The</w:t>
      </w:r>
      <w:r>
        <w:rPr>
          <w:spacing w:val="-13"/>
        </w:rPr>
        <w:t xml:space="preserve"> </w:t>
      </w:r>
      <w:r>
        <w:t>Approach</w:t>
      </w:r>
      <w:r>
        <w:rPr>
          <w:spacing w:val="-19"/>
        </w:rPr>
        <w:t xml:space="preserve"> </w:t>
      </w:r>
      <w:r>
        <w:t>to</w:t>
      </w:r>
      <w:r>
        <w:rPr>
          <w:spacing w:val="-14"/>
        </w:rPr>
        <w:t xml:space="preserve"> </w:t>
      </w:r>
      <w:r>
        <w:t>the Principle</w:t>
      </w:r>
      <w:r>
        <w:rPr>
          <w:spacing w:val="-1"/>
        </w:rPr>
        <w:t xml:space="preserve"> </w:t>
      </w:r>
      <w:r>
        <w:rPr>
          <w:spacing w:val="-5"/>
        </w:rPr>
        <w:t>and</w:t>
      </w:r>
    </w:p>
    <w:p w:rsidR="00143FDB" w:rsidRDefault="006A44E3">
      <w:pPr>
        <w:pStyle w:val="BodyText"/>
        <w:spacing w:line="266" w:lineRule="auto"/>
        <w:ind w:left="833" w:right="129"/>
      </w:pPr>
      <w:r>
        <w:t>its Location within</w:t>
      </w:r>
      <w:r>
        <w:rPr>
          <w:spacing w:val="29"/>
        </w:rPr>
        <w:t xml:space="preserve"> </w:t>
      </w:r>
      <w:r>
        <w:t>the System</w:t>
      </w:r>
      <w:r>
        <w:rPr>
          <w:spacing w:val="-14"/>
        </w:rPr>
        <w:t xml:space="preserve"> </w:t>
      </w:r>
      <w:r>
        <w:t>of Polish Law</w:t>
      </w:r>
      <w:r>
        <w:rPr>
          <w:spacing w:val="-14"/>
        </w:rPr>
        <w:t xml:space="preserve"> </w:t>
      </w:r>
      <w:r>
        <w:t>in the</w:t>
      </w:r>
      <w:r>
        <w:rPr>
          <w:spacing w:val="-2"/>
        </w:rPr>
        <w:t xml:space="preserve"> </w:t>
      </w:r>
      <w:r>
        <w:t>20th and</w:t>
      </w:r>
      <w:r>
        <w:rPr>
          <w:spacing w:val="-11"/>
        </w:rPr>
        <w:t xml:space="preserve"> </w:t>
      </w:r>
      <w:r>
        <w:t xml:space="preserve">21st Centuries. </w:t>
      </w:r>
      <w:r>
        <w:rPr>
          <w:i/>
        </w:rPr>
        <w:t>Prawo</w:t>
      </w:r>
      <w:r>
        <w:rPr>
          <w:i/>
          <w:spacing w:val="-9"/>
        </w:rPr>
        <w:t xml:space="preserve"> </w:t>
      </w:r>
      <w:r>
        <w:rPr>
          <w:i/>
        </w:rPr>
        <w:t>i</w:t>
      </w:r>
      <w:r>
        <w:rPr>
          <w:i/>
          <w:spacing w:val="-14"/>
        </w:rPr>
        <w:t xml:space="preserve"> </w:t>
      </w:r>
      <w:r>
        <w:rPr>
          <w:i/>
        </w:rPr>
        <w:t>Wiez</w:t>
      </w:r>
      <w:r>
        <w:t xml:space="preserve">, </w:t>
      </w:r>
      <w:r>
        <w:rPr>
          <w:i/>
        </w:rPr>
        <w:t>53</w:t>
      </w:r>
      <w:r>
        <w:t>(6), 909–932. Scopus. https://doi.org/10.36128/PRIW.VI53.1137</w:t>
      </w:r>
    </w:p>
    <w:p w:rsidR="00143FDB" w:rsidRDefault="006A44E3">
      <w:pPr>
        <w:spacing w:before="10" w:line="271" w:lineRule="auto"/>
        <w:ind w:left="833" w:right="66" w:hanging="720"/>
        <w:jc w:val="both"/>
      </w:pPr>
      <w:r>
        <w:t>Bingham,</w:t>
      </w:r>
      <w:r>
        <w:rPr>
          <w:spacing w:val="-13"/>
        </w:rPr>
        <w:t xml:space="preserve"> </w:t>
      </w:r>
      <w:r>
        <w:t>A.</w:t>
      </w:r>
      <w:r>
        <w:rPr>
          <w:spacing w:val="-14"/>
        </w:rPr>
        <w:t xml:space="preserve"> </w:t>
      </w:r>
      <w:r>
        <w:t>J.</w:t>
      </w:r>
      <w:r>
        <w:rPr>
          <w:spacing w:val="-14"/>
        </w:rPr>
        <w:t xml:space="preserve"> </w:t>
      </w:r>
      <w:r>
        <w:t>(2023).</w:t>
      </w:r>
      <w:r>
        <w:rPr>
          <w:spacing w:val="-12"/>
        </w:rPr>
        <w:t xml:space="preserve"> </w:t>
      </w:r>
      <w:r>
        <w:t>From</w:t>
      </w:r>
      <w:r>
        <w:rPr>
          <w:spacing w:val="-14"/>
        </w:rPr>
        <w:t xml:space="preserve"> </w:t>
      </w:r>
      <w:r>
        <w:t>Data</w:t>
      </w:r>
      <w:r>
        <w:rPr>
          <w:spacing w:val="-13"/>
        </w:rPr>
        <w:t xml:space="preserve"> </w:t>
      </w:r>
      <w:r>
        <w:t>Management</w:t>
      </w:r>
      <w:r>
        <w:rPr>
          <w:spacing w:val="-13"/>
        </w:rPr>
        <w:t xml:space="preserve"> </w:t>
      </w:r>
      <w:r>
        <w:t>to</w:t>
      </w:r>
      <w:r>
        <w:rPr>
          <w:spacing w:val="-11"/>
        </w:rPr>
        <w:t xml:space="preserve"> </w:t>
      </w:r>
      <w:r>
        <w:t>Actionable</w:t>
      </w:r>
      <w:r>
        <w:rPr>
          <w:spacing w:val="-13"/>
        </w:rPr>
        <w:t xml:space="preserve"> </w:t>
      </w:r>
      <w:r>
        <w:t>Findings:</w:t>
      </w:r>
      <w:r>
        <w:rPr>
          <w:spacing w:val="-8"/>
        </w:rPr>
        <w:t xml:space="preserve"> </w:t>
      </w:r>
      <w:r>
        <w:t>A</w:t>
      </w:r>
      <w:r>
        <w:rPr>
          <w:spacing w:val="-14"/>
        </w:rPr>
        <w:t xml:space="preserve"> </w:t>
      </w:r>
      <w:r>
        <w:t>Five-Phase</w:t>
      </w:r>
      <w:r>
        <w:rPr>
          <w:spacing w:val="-11"/>
        </w:rPr>
        <w:t xml:space="preserve"> </w:t>
      </w:r>
      <w:r>
        <w:t>Process</w:t>
      </w:r>
      <w:r>
        <w:rPr>
          <w:spacing w:val="-13"/>
        </w:rPr>
        <w:t xml:space="preserve"> </w:t>
      </w:r>
      <w:r>
        <w:t>of</w:t>
      </w:r>
      <w:r>
        <w:rPr>
          <w:spacing w:val="-13"/>
        </w:rPr>
        <w:t xml:space="preserve"> </w:t>
      </w:r>
      <w:r>
        <w:t xml:space="preserve">Qualitative Data Analysis. </w:t>
      </w:r>
      <w:r>
        <w:rPr>
          <w:i/>
        </w:rPr>
        <w:t>International Journal of Qualitative Methods</w:t>
      </w:r>
      <w:r>
        <w:t xml:space="preserve">, </w:t>
      </w:r>
      <w:r>
        <w:rPr>
          <w:i/>
        </w:rPr>
        <w:t>22</w:t>
      </w:r>
      <w:r>
        <w:t xml:space="preserve">. Scopus. </w:t>
      </w:r>
      <w:r>
        <w:rPr>
          <w:spacing w:val="-2"/>
        </w:rPr>
        <w:t>https://doi.org</w:t>
      </w:r>
      <w:r>
        <w:rPr>
          <w:spacing w:val="-2"/>
        </w:rPr>
        <w:t>/10.1177/16094069231183620</w:t>
      </w:r>
    </w:p>
    <w:p w:rsidR="00143FDB" w:rsidRDefault="006A44E3">
      <w:pPr>
        <w:pStyle w:val="BodyText"/>
        <w:spacing w:before="12" w:line="278" w:lineRule="auto"/>
        <w:ind w:left="833" w:right="68" w:hanging="720"/>
      </w:pPr>
      <w:r>
        <w:t xml:space="preserve">Bodellini, M. (2021). The optional measures of deposit guarantee schemes: Towards a new bank crisis management paradigm? </w:t>
      </w:r>
      <w:r>
        <w:rPr>
          <w:i/>
        </w:rPr>
        <w:t>European Journal of Legal Studies</w:t>
      </w:r>
      <w:r>
        <w:t xml:space="preserve">, </w:t>
      </w:r>
      <w:r>
        <w:rPr>
          <w:i/>
        </w:rPr>
        <w:t>13</w:t>
      </w:r>
      <w:r>
        <w:t xml:space="preserve">(1), 341–376. Scopus. </w:t>
      </w:r>
      <w:r>
        <w:rPr>
          <w:spacing w:val="-2"/>
        </w:rPr>
        <w:t>https://doi.org/10.2924/EJLS.2019.043</w:t>
      </w:r>
    </w:p>
    <w:p w:rsidR="00143FDB" w:rsidRDefault="006A44E3">
      <w:pPr>
        <w:spacing w:line="278" w:lineRule="auto"/>
        <w:ind w:left="833" w:right="65" w:hanging="720"/>
        <w:jc w:val="both"/>
      </w:pPr>
      <w:r>
        <w:t>Butarbutar,</w:t>
      </w:r>
      <w:r>
        <w:t xml:space="preserve"> E. N. (2020). Implementation of good faith principle as an efforts to prevent the business disputes. </w:t>
      </w:r>
      <w:r>
        <w:rPr>
          <w:i/>
        </w:rPr>
        <w:t>Journal of Advanced Research in Law and Economics</w:t>
      </w:r>
      <w:r>
        <w:t xml:space="preserve">, </w:t>
      </w:r>
      <w:r>
        <w:rPr>
          <w:i/>
        </w:rPr>
        <w:t>11</w:t>
      </w:r>
      <w:r>
        <w:t xml:space="preserve">(4), 1131–1136. Scopus. </w:t>
      </w:r>
      <w:r>
        <w:rPr>
          <w:spacing w:val="-2"/>
        </w:rPr>
        <w:t>https://doi.org/10.14505//jarle.v11.4(50).07</w:t>
      </w:r>
    </w:p>
    <w:p w:rsidR="00143FDB" w:rsidRDefault="006A44E3">
      <w:pPr>
        <w:spacing w:line="288" w:lineRule="auto"/>
        <w:ind w:left="833" w:right="69" w:hanging="720"/>
        <w:jc w:val="both"/>
      </w:pPr>
      <w:r>
        <w:rPr>
          <w:noProof/>
        </w:rPr>
        <mc:AlternateContent>
          <mc:Choice Requires="wps">
            <w:drawing>
              <wp:anchor distT="0" distB="0" distL="0" distR="0" simplePos="0" relativeHeight="487589888" behindDoc="1" locked="0" layoutInCell="1" allowOverlap="1">
                <wp:simplePos x="0" y="0"/>
                <wp:positionH relativeFrom="page">
                  <wp:posOffset>838517</wp:posOffset>
                </wp:positionH>
                <wp:positionV relativeFrom="paragraph">
                  <wp:posOffset>395699</wp:posOffset>
                </wp:positionV>
                <wp:extent cx="5859145" cy="347345"/>
                <wp:effectExtent l="0" t="0" r="0" b="0"/>
                <wp:wrapTopAndBottom/>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59145" cy="347345"/>
                        </a:xfrm>
                        <a:prstGeom prst="rect">
                          <a:avLst/>
                        </a:prstGeom>
                        <a:solidFill>
                          <a:srgbClr val="923735"/>
                        </a:solidFill>
                        <a:ln w="9525">
                          <a:solidFill>
                            <a:srgbClr val="000000"/>
                          </a:solidFill>
                          <a:prstDash val="solid"/>
                        </a:ln>
                      </wps:spPr>
                      <wps:txbx>
                        <w:txbxContent>
                          <w:p w:rsidR="00143FDB" w:rsidRDefault="006A44E3">
                            <w:pPr>
                              <w:tabs>
                                <w:tab w:val="left" w:pos="8266"/>
                              </w:tabs>
                              <w:spacing w:before="124"/>
                              <w:ind w:left="196"/>
                              <w:rPr>
                                <w:rFonts w:ascii="PMingLiU-ExtB"/>
                                <w:color w:val="000000"/>
                                <w:position w:val="1"/>
                                <w:sz w:val="18"/>
                              </w:rPr>
                            </w:pPr>
                            <w:r>
                              <w:rPr>
                                <w:b/>
                                <w:color w:val="FFFFFF"/>
                                <w:sz w:val="18"/>
                              </w:rPr>
                              <w:t>Burhan</w:t>
                            </w:r>
                            <w:r>
                              <w:rPr>
                                <w:b/>
                                <w:color w:val="FFFFFF"/>
                                <w:spacing w:val="-13"/>
                                <w:sz w:val="18"/>
                              </w:rPr>
                              <w:t xml:space="preserve"> </w:t>
                            </w:r>
                            <w:r>
                              <w:rPr>
                                <w:b/>
                                <w:color w:val="FFFFFF"/>
                                <w:sz w:val="18"/>
                              </w:rPr>
                              <w:t>Sidabariba</w:t>
                            </w:r>
                            <w:r>
                              <w:rPr>
                                <w:b/>
                                <w:color w:val="FFFFFF"/>
                                <w:spacing w:val="-6"/>
                                <w:sz w:val="18"/>
                              </w:rPr>
                              <w:t xml:space="preserve"> </w:t>
                            </w:r>
                            <w:r>
                              <w:rPr>
                                <w:i/>
                                <w:color w:val="FFFFFF"/>
                                <w:sz w:val="18"/>
                              </w:rPr>
                              <w:t>:</w:t>
                            </w:r>
                            <w:r>
                              <w:rPr>
                                <w:i/>
                                <w:color w:val="FFFFFF"/>
                                <w:spacing w:val="-1"/>
                                <w:sz w:val="18"/>
                              </w:rPr>
                              <w:t xml:space="preserve"> </w:t>
                            </w:r>
                            <w:r>
                              <w:rPr>
                                <w:i/>
                                <w:color w:val="FFFFFF"/>
                                <w:sz w:val="18"/>
                              </w:rPr>
                              <w:t>The</w:t>
                            </w:r>
                            <w:r>
                              <w:rPr>
                                <w:i/>
                                <w:color w:val="FFFFFF"/>
                                <w:spacing w:val="-11"/>
                                <w:sz w:val="18"/>
                              </w:rPr>
                              <w:t xml:space="preserve"> </w:t>
                            </w:r>
                            <w:r>
                              <w:rPr>
                                <w:i/>
                                <w:color w:val="FFFFFF"/>
                                <w:sz w:val="18"/>
                              </w:rPr>
                              <w:t>Legal</w:t>
                            </w:r>
                            <w:r>
                              <w:rPr>
                                <w:i/>
                                <w:color w:val="FFFFFF"/>
                                <w:spacing w:val="2"/>
                                <w:sz w:val="18"/>
                              </w:rPr>
                              <w:t xml:space="preserve"> </w:t>
                            </w:r>
                            <w:r>
                              <w:rPr>
                                <w:i/>
                                <w:color w:val="FFFFFF"/>
                                <w:sz w:val="18"/>
                              </w:rPr>
                              <w:t>Framework</w:t>
                            </w:r>
                            <w:r>
                              <w:rPr>
                                <w:i/>
                                <w:color w:val="FFFFFF"/>
                                <w:spacing w:val="-11"/>
                                <w:sz w:val="18"/>
                              </w:rPr>
                              <w:t xml:space="preserve"> </w:t>
                            </w:r>
                            <w:r>
                              <w:rPr>
                                <w:i/>
                                <w:color w:val="FFFFFF"/>
                                <w:sz w:val="18"/>
                              </w:rPr>
                              <w:t>and</w:t>
                            </w:r>
                            <w:r>
                              <w:rPr>
                                <w:i/>
                                <w:color w:val="FFFFFF"/>
                                <w:spacing w:val="-5"/>
                                <w:sz w:val="18"/>
                              </w:rPr>
                              <w:t xml:space="preserve"> </w:t>
                            </w:r>
                            <w:r>
                              <w:rPr>
                                <w:i/>
                                <w:color w:val="FFFFFF"/>
                                <w:sz w:val="18"/>
                              </w:rPr>
                              <w:t>Commitment</w:t>
                            </w:r>
                            <w:r>
                              <w:rPr>
                                <w:i/>
                                <w:color w:val="FFFFFF"/>
                                <w:spacing w:val="-9"/>
                                <w:sz w:val="18"/>
                              </w:rPr>
                              <w:t xml:space="preserve"> </w:t>
                            </w:r>
                            <w:r>
                              <w:rPr>
                                <w:i/>
                                <w:color w:val="FFFFFF"/>
                                <w:sz w:val="18"/>
                              </w:rPr>
                              <w:t>in</w:t>
                            </w:r>
                            <w:r>
                              <w:rPr>
                                <w:i/>
                                <w:color w:val="FFFFFF"/>
                                <w:spacing w:val="-2"/>
                                <w:sz w:val="18"/>
                              </w:rPr>
                              <w:t xml:space="preserve"> </w:t>
                            </w:r>
                            <w:r>
                              <w:rPr>
                                <w:i/>
                                <w:color w:val="FFFFFF"/>
                                <w:sz w:val="18"/>
                              </w:rPr>
                              <w:t>Bank</w:t>
                            </w:r>
                            <w:r>
                              <w:rPr>
                                <w:i/>
                                <w:color w:val="FFFFFF"/>
                                <w:spacing w:val="2"/>
                                <w:sz w:val="18"/>
                              </w:rPr>
                              <w:t xml:space="preserve"> </w:t>
                            </w:r>
                            <w:r>
                              <w:rPr>
                                <w:i/>
                                <w:color w:val="FFFFFF"/>
                                <w:sz w:val="18"/>
                              </w:rPr>
                              <w:t>Credit</w:t>
                            </w:r>
                            <w:r>
                              <w:rPr>
                                <w:i/>
                                <w:color w:val="FFFFFF"/>
                                <w:spacing w:val="4"/>
                                <w:sz w:val="18"/>
                              </w:rPr>
                              <w:t xml:space="preserve"> </w:t>
                            </w:r>
                            <w:r>
                              <w:rPr>
                                <w:i/>
                                <w:color w:val="FFFFFF"/>
                                <w:spacing w:val="-2"/>
                                <w:sz w:val="18"/>
                              </w:rPr>
                              <w:t>Agreements:</w:t>
                            </w:r>
                            <w:r>
                              <w:rPr>
                                <w:i/>
                                <w:color w:val="FFFFFF"/>
                                <w:sz w:val="18"/>
                              </w:rPr>
                              <w:tab/>
                            </w:r>
                            <w:r>
                              <w:rPr>
                                <w:rFonts w:ascii="PMingLiU-ExtB"/>
                                <w:color w:val="FFFFFF"/>
                                <w:spacing w:val="-4"/>
                                <w:position w:val="1"/>
                                <w:sz w:val="18"/>
                              </w:rPr>
                              <w:t>4968</w:t>
                            </w:r>
                          </w:p>
                        </w:txbxContent>
                      </wps:txbx>
                      <wps:bodyPr wrap="square" lIns="0" tIns="0" rIns="0" bIns="0" rtlCol="0">
                        <a:noAutofit/>
                      </wps:bodyPr>
                    </wps:wsp>
                  </a:graphicData>
                </a:graphic>
              </wp:anchor>
            </w:drawing>
          </mc:Choice>
          <mc:Fallback>
            <w:pict>
              <v:shape id="Textbox 25" o:spid="_x0000_s1028" type="#_x0000_t202" style="position:absolute;left:0;text-align:left;margin-left:66pt;margin-top:31.15pt;width:461.35pt;height:27.35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" fillcolor="#923735">
                <v:path arrowok="t"/>
                <v:textbox inset="0,0,0,0">
                  <w:txbxContent>
                    <w:p w:rsidR="00143FDB" w:rsidRDefault="006A44E3">
                      <w:pPr>
                        <w:tabs>
                          <w:tab w:val="left" w:pos="8266"/>
                        </w:tabs>
                        <w:spacing w:before="124"/>
                        <w:ind w:left="196"/>
                        <w:rPr>
                          <w:rFonts w:ascii="PMingLiU-ExtB"/>
                          <w:color w:val="000000"/>
                          <w:position w:val="1"/>
                          <w:sz w:val="18"/>
                        </w:rPr>
                      </w:pPr>
                      <w:r>
                        <w:rPr>
                          <w:b/>
                          <w:color w:val="FFFFFF"/>
                          <w:sz w:val="18"/>
                        </w:rPr>
                        <w:t>Burhan</w:t>
                      </w:r>
                      <w:r>
                        <w:rPr>
                          <w:b/>
                          <w:color w:val="FFFFFF"/>
                          <w:spacing w:val="-13"/>
                          <w:sz w:val="18"/>
                        </w:rPr>
                        <w:t xml:space="preserve"> </w:t>
                      </w:r>
                      <w:r>
                        <w:rPr>
                          <w:b/>
                          <w:color w:val="FFFFFF"/>
                          <w:sz w:val="18"/>
                        </w:rPr>
                        <w:t>Sidabariba</w:t>
                      </w:r>
                      <w:r>
                        <w:rPr>
                          <w:b/>
                          <w:color w:val="FFFFFF"/>
                          <w:spacing w:val="-6"/>
                          <w:sz w:val="18"/>
                        </w:rPr>
                        <w:t xml:space="preserve"> </w:t>
                      </w:r>
                      <w:r>
                        <w:rPr>
                          <w:i/>
                          <w:color w:val="FFFFFF"/>
                          <w:sz w:val="18"/>
                        </w:rPr>
                        <w:t>:</w:t>
                      </w:r>
                      <w:r>
                        <w:rPr>
                          <w:i/>
                          <w:color w:val="FFFFFF"/>
                          <w:spacing w:val="-1"/>
                          <w:sz w:val="18"/>
                        </w:rPr>
                        <w:t xml:space="preserve"> </w:t>
                      </w:r>
                      <w:r>
                        <w:rPr>
                          <w:i/>
                          <w:color w:val="FFFFFF"/>
                          <w:sz w:val="18"/>
                        </w:rPr>
                        <w:t>The</w:t>
                      </w:r>
                      <w:r>
                        <w:rPr>
                          <w:i/>
                          <w:color w:val="FFFFFF"/>
                          <w:spacing w:val="-11"/>
                          <w:sz w:val="18"/>
                        </w:rPr>
                        <w:t xml:space="preserve"> </w:t>
                      </w:r>
                      <w:r>
                        <w:rPr>
                          <w:i/>
                          <w:color w:val="FFFFFF"/>
                          <w:sz w:val="18"/>
                        </w:rPr>
                        <w:t>Legal</w:t>
                      </w:r>
                      <w:r>
                        <w:rPr>
                          <w:i/>
                          <w:color w:val="FFFFFF"/>
                          <w:spacing w:val="2"/>
                          <w:sz w:val="18"/>
                        </w:rPr>
                        <w:t xml:space="preserve"> </w:t>
                      </w:r>
                      <w:r>
                        <w:rPr>
                          <w:i/>
                          <w:color w:val="FFFFFF"/>
                          <w:sz w:val="18"/>
                        </w:rPr>
                        <w:t>Framework</w:t>
                      </w:r>
                      <w:r>
                        <w:rPr>
                          <w:i/>
                          <w:color w:val="FFFFFF"/>
                          <w:spacing w:val="-11"/>
                          <w:sz w:val="18"/>
                        </w:rPr>
                        <w:t xml:space="preserve"> </w:t>
                      </w:r>
                      <w:r>
                        <w:rPr>
                          <w:i/>
                          <w:color w:val="FFFFFF"/>
                          <w:sz w:val="18"/>
                        </w:rPr>
                        <w:t>and</w:t>
                      </w:r>
                      <w:r>
                        <w:rPr>
                          <w:i/>
                          <w:color w:val="FFFFFF"/>
                          <w:spacing w:val="-5"/>
                          <w:sz w:val="18"/>
                        </w:rPr>
                        <w:t xml:space="preserve"> </w:t>
                      </w:r>
                      <w:r>
                        <w:rPr>
                          <w:i/>
                          <w:color w:val="FFFFFF"/>
                          <w:sz w:val="18"/>
                        </w:rPr>
                        <w:t>Commitment</w:t>
                      </w:r>
                      <w:r>
                        <w:rPr>
                          <w:i/>
                          <w:color w:val="FFFFFF"/>
                          <w:spacing w:val="-9"/>
                          <w:sz w:val="18"/>
                        </w:rPr>
                        <w:t xml:space="preserve"> </w:t>
                      </w:r>
                      <w:r>
                        <w:rPr>
                          <w:i/>
                          <w:color w:val="FFFFFF"/>
                          <w:sz w:val="18"/>
                        </w:rPr>
                        <w:t>in</w:t>
                      </w:r>
                      <w:r>
                        <w:rPr>
                          <w:i/>
                          <w:color w:val="FFFFFF"/>
                          <w:spacing w:val="-2"/>
                          <w:sz w:val="18"/>
                        </w:rPr>
                        <w:t xml:space="preserve"> </w:t>
                      </w:r>
                      <w:r>
                        <w:rPr>
                          <w:i/>
                          <w:color w:val="FFFFFF"/>
                          <w:sz w:val="18"/>
                        </w:rPr>
                        <w:t>Bank</w:t>
                      </w:r>
                      <w:r>
                        <w:rPr>
                          <w:i/>
                          <w:color w:val="FFFFFF"/>
                          <w:spacing w:val="2"/>
                          <w:sz w:val="18"/>
                        </w:rPr>
                        <w:t xml:space="preserve"> </w:t>
                      </w:r>
                      <w:r>
                        <w:rPr>
                          <w:i/>
                          <w:color w:val="FFFFFF"/>
                          <w:sz w:val="18"/>
                        </w:rPr>
                        <w:t>Credit</w:t>
                      </w:r>
                      <w:r>
                        <w:rPr>
                          <w:i/>
                          <w:color w:val="FFFFFF"/>
                          <w:spacing w:val="4"/>
                          <w:sz w:val="18"/>
                        </w:rPr>
                        <w:t xml:space="preserve"> </w:t>
                      </w:r>
                      <w:r>
                        <w:rPr>
                          <w:i/>
                          <w:color w:val="FFFFFF"/>
                          <w:spacing w:val="-2"/>
                          <w:sz w:val="18"/>
                        </w:rPr>
                        <w:t>Agreements:</w:t>
                      </w:r>
                      <w:r>
                        <w:rPr>
                          <w:i/>
                          <w:color w:val="FFFFFF"/>
                          <w:sz w:val="18"/>
                        </w:rPr>
                        <w:tab/>
                      </w:r>
                      <w:r>
                        <w:rPr>
                          <w:rFonts w:ascii="PMingLiU-ExtB"/>
                          <w:color w:val="FFFFFF"/>
                          <w:spacing w:val="-4"/>
                          <w:position w:val="1"/>
                          <w:sz w:val="18"/>
                        </w:rPr>
                        <w:t>4968</w:t>
                      </w:r>
                    </w:p>
                  </w:txbxContent>
                </v:textbox>
                <w10:wrap type="topAndBottom" anchorx="page"/>
              </v:shape>
            </w:pict>
          </mc:Fallback>
        </mc:AlternateContent>
      </w:r>
      <w:r>
        <w:t>Cairo,</w:t>
      </w:r>
      <w:r>
        <w:rPr>
          <w:spacing w:val="-11"/>
        </w:rPr>
        <w:t xml:space="preserve"> </w:t>
      </w:r>
      <w:r>
        <w:t>V.</w:t>
      </w:r>
      <w:r>
        <w:rPr>
          <w:spacing w:val="-10"/>
        </w:rPr>
        <w:t xml:space="preserve"> </w:t>
      </w:r>
      <w:r>
        <w:t>R.,</w:t>
      </w:r>
      <w:r>
        <w:rPr>
          <w:spacing w:val="-9"/>
        </w:rPr>
        <w:t xml:space="preserve"> </w:t>
      </w:r>
      <w:r>
        <w:t>Olivares,</w:t>
      </w:r>
      <w:r>
        <w:rPr>
          <w:spacing w:val="-9"/>
        </w:rPr>
        <w:t xml:space="preserve"> </w:t>
      </w:r>
      <w:r>
        <w:t>P.</w:t>
      </w:r>
      <w:r>
        <w:rPr>
          <w:spacing w:val="-9"/>
        </w:rPr>
        <w:t xml:space="preserve"> </w:t>
      </w:r>
      <w:r>
        <w:t>A.</w:t>
      </w:r>
      <w:r>
        <w:rPr>
          <w:spacing w:val="-12"/>
        </w:rPr>
        <w:t xml:space="preserve"> </w:t>
      </w:r>
      <w:r>
        <w:t>V.,</w:t>
      </w:r>
      <w:r>
        <w:rPr>
          <w:spacing w:val="-9"/>
        </w:rPr>
        <w:t xml:space="preserve"> </w:t>
      </w:r>
      <w:r>
        <w:t>&amp;</w:t>
      </w:r>
      <w:r>
        <w:rPr>
          <w:spacing w:val="-8"/>
        </w:rPr>
        <w:t xml:space="preserve"> </w:t>
      </w:r>
      <w:r>
        <w:t>Peralta,</w:t>
      </w:r>
      <w:r>
        <w:rPr>
          <w:spacing w:val="-11"/>
        </w:rPr>
        <w:t xml:space="preserve"> </w:t>
      </w:r>
      <w:r>
        <w:t>E.</w:t>
      </w:r>
      <w:r>
        <w:rPr>
          <w:spacing w:val="-7"/>
        </w:rPr>
        <w:t xml:space="preserve"> </w:t>
      </w:r>
      <w:r>
        <w:t>C.</w:t>
      </w:r>
      <w:r>
        <w:rPr>
          <w:spacing w:val="-7"/>
        </w:rPr>
        <w:t xml:space="preserve"> </w:t>
      </w:r>
      <w:r>
        <w:t>O.</w:t>
      </w:r>
      <w:r>
        <w:rPr>
          <w:spacing w:val="-9"/>
        </w:rPr>
        <w:t xml:space="preserve"> </w:t>
      </w:r>
      <w:r>
        <w:t>(2024).</w:t>
      </w:r>
      <w:r>
        <w:rPr>
          <w:spacing w:val="-2"/>
        </w:rPr>
        <w:t xml:space="preserve"> </w:t>
      </w:r>
      <w:r>
        <w:t>Systematic</w:t>
      </w:r>
      <w:r>
        <w:rPr>
          <w:spacing w:val="-2"/>
        </w:rPr>
        <w:t xml:space="preserve"> </w:t>
      </w:r>
      <w:r>
        <w:t>review</w:t>
      </w:r>
      <w:r>
        <w:rPr>
          <w:spacing w:val="-2"/>
        </w:rPr>
        <w:t xml:space="preserve"> </w:t>
      </w:r>
      <w:r>
        <w:t>of</w:t>
      </w:r>
      <w:r>
        <w:rPr>
          <w:spacing w:val="-2"/>
        </w:rPr>
        <w:t xml:space="preserve"> </w:t>
      </w:r>
      <w:r>
        <w:t>scientific</w:t>
      </w:r>
      <w:r>
        <w:rPr>
          <w:spacing w:val="-2"/>
        </w:rPr>
        <w:t xml:space="preserve"> </w:t>
      </w:r>
      <w:r>
        <w:t>literature</w:t>
      </w:r>
      <w:r>
        <w:rPr>
          <w:spacing w:val="-2"/>
        </w:rPr>
        <w:t xml:space="preserve"> </w:t>
      </w:r>
      <w:r>
        <w:t>applied to legal</w:t>
      </w:r>
      <w:r>
        <w:rPr>
          <w:spacing w:val="40"/>
        </w:rPr>
        <w:t xml:space="preserve"> </w:t>
      </w:r>
      <w:r>
        <w:t xml:space="preserve">research. </w:t>
      </w:r>
      <w:r>
        <w:rPr>
          <w:i/>
        </w:rPr>
        <w:t>Revista</w:t>
      </w:r>
      <w:r>
        <w:rPr>
          <w:i/>
          <w:spacing w:val="-6"/>
        </w:rPr>
        <w:t xml:space="preserve"> </w:t>
      </w:r>
      <w:r>
        <w:rPr>
          <w:i/>
        </w:rPr>
        <w:t>Pedagogia</w:t>
      </w:r>
      <w:r>
        <w:rPr>
          <w:i/>
          <w:spacing w:val="-7"/>
        </w:rPr>
        <w:t xml:space="preserve"> </w:t>
      </w:r>
      <w:r>
        <w:rPr>
          <w:i/>
        </w:rPr>
        <w:t>Universitaria</w:t>
      </w:r>
      <w:r>
        <w:rPr>
          <w:i/>
          <w:spacing w:val="-8"/>
        </w:rPr>
        <w:t xml:space="preserve"> </w:t>
      </w:r>
      <w:r>
        <w:rPr>
          <w:i/>
        </w:rPr>
        <w:t>y Didactica</w:t>
      </w:r>
      <w:r>
        <w:rPr>
          <w:i/>
          <w:spacing w:val="-6"/>
        </w:rPr>
        <w:t xml:space="preserve"> </w:t>
      </w:r>
      <w:r>
        <w:rPr>
          <w:i/>
        </w:rPr>
        <w:t>del Derecho</w:t>
      </w:r>
      <w:r>
        <w:t>,</w:t>
      </w:r>
      <w:r>
        <w:rPr>
          <w:spacing w:val="-15"/>
        </w:rPr>
        <w:t xml:space="preserve"> </w:t>
      </w:r>
      <w:r>
        <w:rPr>
          <w:i/>
        </w:rPr>
        <w:t>11</w:t>
      </w:r>
      <w:r>
        <w:t>(1),</w:t>
      </w:r>
      <w:r>
        <w:rPr>
          <w:spacing w:val="-12"/>
        </w:rPr>
        <w:t xml:space="preserve"> </w:t>
      </w:r>
      <w:r>
        <w:t>63–91. Scopus.</w:t>
      </w:r>
    </w:p>
    <w:p w:rsidR="00143FDB" w:rsidRDefault="00143FDB">
      <w:pPr>
        <w:spacing w:line="288" w:lineRule="auto"/>
        <w:jc w:val="both"/>
        <w:sectPr w:rsidR="00143FDB">
          <w:headerReference w:type="default" r:id="rId11"/>
          <w:footerReference w:type="default" r:id="rId12"/>
          <w:pgSz w:w="11920" w:h="16860"/>
          <w:pgMar w:top="1460" w:right="1133" w:bottom="280" w:left="1133" w:header="282" w:footer="0" w:gutter="0"/>
          <w:cols w:space="720"/>
        </w:sectPr>
      </w:pPr>
    </w:p>
    <w:p w:rsidR="00143FDB" w:rsidRDefault="006A44E3">
      <w:pPr>
        <w:pStyle w:val="BodyText"/>
        <w:spacing w:before="81"/>
        <w:ind w:left="833"/>
        <w:jc w:val="left"/>
      </w:pPr>
      <w:r>
        <w:rPr>
          <w:spacing w:val="-7"/>
        </w:rPr>
        <w:lastRenderedPageBreak/>
        <w:t>https://doi.org/10.5354/0719-</w:t>
      </w:r>
      <w:r>
        <w:rPr>
          <w:spacing w:val="-2"/>
        </w:rPr>
        <w:t>5885.2024.70653</w:t>
      </w:r>
    </w:p>
    <w:p w:rsidR="00143FDB" w:rsidRDefault="006A44E3">
      <w:pPr>
        <w:pStyle w:val="BodyText"/>
        <w:spacing w:before="30" w:line="278" w:lineRule="auto"/>
        <w:ind w:left="833" w:right="41" w:hanging="720"/>
      </w:pPr>
      <w:r>
        <w:t>Cheng,</w:t>
      </w:r>
      <w:r>
        <w:rPr>
          <w:spacing w:val="-10"/>
        </w:rPr>
        <w:t xml:space="preserve"> </w:t>
      </w:r>
      <w:r>
        <w:t>D.-W.,</w:t>
      </w:r>
      <w:r>
        <w:rPr>
          <w:spacing w:val="-10"/>
        </w:rPr>
        <w:t xml:space="preserve"> </w:t>
      </w:r>
      <w:r>
        <w:t>Niu,</w:t>
      </w:r>
      <w:r>
        <w:rPr>
          <w:spacing w:val="-10"/>
        </w:rPr>
        <w:t xml:space="preserve"> </w:t>
      </w:r>
      <w:r>
        <w:t>Z.-B.,</w:t>
      </w:r>
      <w:r>
        <w:rPr>
          <w:spacing w:val="-7"/>
        </w:rPr>
        <w:t xml:space="preserve"> </w:t>
      </w:r>
      <w:r>
        <w:t>&amp;</w:t>
      </w:r>
      <w:r>
        <w:rPr>
          <w:spacing w:val="-7"/>
        </w:rPr>
        <w:t xml:space="preserve"> </w:t>
      </w:r>
      <w:r>
        <w:t>Zhang,</w:t>
      </w:r>
      <w:r>
        <w:rPr>
          <w:spacing w:val="-6"/>
        </w:rPr>
        <w:t xml:space="preserve"> </w:t>
      </w:r>
      <w:r>
        <w:t>L.-Q.</w:t>
      </w:r>
      <w:r>
        <w:rPr>
          <w:spacing w:val="-11"/>
        </w:rPr>
        <w:t xml:space="preserve"> </w:t>
      </w:r>
      <w:r>
        <w:t>(2020).</w:t>
      </w:r>
      <w:r>
        <w:rPr>
          <w:spacing w:val="11"/>
        </w:rPr>
        <w:t xml:space="preserve"> </w:t>
      </w:r>
      <w:r>
        <w:t>Risk</w:t>
      </w:r>
      <w:r>
        <w:rPr>
          <w:spacing w:val="-6"/>
        </w:rPr>
        <w:t xml:space="preserve"> </w:t>
      </w:r>
      <w:r>
        <w:t>Assessment</w:t>
      </w:r>
      <w:r>
        <w:rPr>
          <w:spacing w:val="-9"/>
        </w:rPr>
        <w:t xml:space="preserve"> </w:t>
      </w:r>
      <w:r>
        <w:t>on</w:t>
      </w:r>
      <w:r>
        <w:rPr>
          <w:spacing w:val="-10"/>
        </w:rPr>
        <w:t xml:space="preserve"> </w:t>
      </w:r>
      <w:r>
        <w:t>Large-scale</w:t>
      </w:r>
      <w:r>
        <w:rPr>
          <w:spacing w:val="-10"/>
        </w:rPr>
        <w:t xml:space="preserve"> </w:t>
      </w:r>
      <w:r>
        <w:t>Unbalanced</w:t>
      </w:r>
      <w:r>
        <w:rPr>
          <w:spacing w:val="-10"/>
        </w:rPr>
        <w:t xml:space="preserve"> </w:t>
      </w:r>
      <w:r>
        <w:t xml:space="preserve">Networked- guarantee Loans. </w:t>
      </w:r>
      <w:r>
        <w:rPr>
          <w:i/>
        </w:rPr>
        <w:t>Jisuanji Xuebao/Chinese Journal of Computers</w:t>
      </w:r>
      <w:r>
        <w:t xml:space="preserve">, </w:t>
      </w:r>
      <w:r>
        <w:rPr>
          <w:i/>
        </w:rPr>
        <w:t>43</w:t>
      </w:r>
      <w:r>
        <w:t xml:space="preserve">(4), 668–682. Scopus. </w:t>
      </w:r>
      <w:r>
        <w:rPr>
          <w:spacing w:val="-2"/>
        </w:rPr>
        <w:t>https://doi.org/10.11897/SP.J.1016.2020.00668</w:t>
      </w:r>
    </w:p>
    <w:p w:rsidR="00143FDB" w:rsidRDefault="006A44E3">
      <w:pPr>
        <w:pStyle w:val="BodyText"/>
        <w:spacing w:before="1" w:line="278" w:lineRule="auto"/>
        <w:ind w:left="833" w:right="66" w:hanging="720"/>
      </w:pPr>
      <w:r>
        <w:t>Degryse, H., Ioannidou, V., Liberti, J. M., &amp; Sturgess, J. (2020). How Do Laws and Instit</w:t>
      </w:r>
      <w:r>
        <w:t xml:space="preserve">utions Affect Recovery Rates for Collateral? </w:t>
      </w:r>
      <w:r>
        <w:rPr>
          <w:i/>
        </w:rPr>
        <w:t>Review of Corporate Finance Studies</w:t>
      </w:r>
      <w:r>
        <w:t xml:space="preserve">, </w:t>
      </w:r>
      <w:r>
        <w:rPr>
          <w:i/>
        </w:rPr>
        <w:t>9</w:t>
      </w:r>
      <w:r>
        <w:t xml:space="preserve">(1), 1–43. Scopus. </w:t>
      </w:r>
      <w:r>
        <w:rPr>
          <w:spacing w:val="-2"/>
        </w:rPr>
        <w:t>https://doi.org/10.1093/rcfs/cfz011</w:t>
      </w:r>
    </w:p>
    <w:p w:rsidR="00143FDB" w:rsidRDefault="006A44E3">
      <w:pPr>
        <w:spacing w:line="288" w:lineRule="auto"/>
        <w:ind w:left="833" w:right="77" w:hanging="720"/>
        <w:jc w:val="both"/>
      </w:pPr>
      <w:r>
        <w:t xml:space="preserve">Delle Monache, S. (2019). Unfair contracts in European contract law. </w:t>
      </w:r>
      <w:r>
        <w:rPr>
          <w:i/>
        </w:rPr>
        <w:t>Osservatorio Del Diritto Civile e Commerciale</w:t>
      </w:r>
      <w:r>
        <w:t xml:space="preserve">, </w:t>
      </w:r>
      <w:r>
        <w:rPr>
          <w:i/>
        </w:rPr>
        <w:t>8</w:t>
      </w:r>
      <w:r>
        <w:t>(</w:t>
      </w:r>
      <w:r>
        <w:t>1), 153–168.</w:t>
      </w:r>
      <w:r>
        <w:rPr>
          <w:spacing w:val="40"/>
        </w:rPr>
        <w:t xml:space="preserve"> </w:t>
      </w:r>
      <w:r>
        <w:t>Scopus. https://doi.org/10.4478/94288</w:t>
      </w:r>
    </w:p>
    <w:p w:rsidR="00143FDB" w:rsidRDefault="006A44E3">
      <w:pPr>
        <w:pStyle w:val="BodyText"/>
        <w:spacing w:line="239" w:lineRule="exact"/>
      </w:pPr>
      <w:r>
        <w:t>Duarte,</w:t>
      </w:r>
      <w:r>
        <w:rPr>
          <w:spacing w:val="-14"/>
        </w:rPr>
        <w:t xml:space="preserve"> </w:t>
      </w:r>
      <w:r>
        <w:t>F.</w:t>
      </w:r>
      <w:r>
        <w:rPr>
          <w:spacing w:val="2"/>
        </w:rPr>
        <w:t xml:space="preserve"> </w:t>
      </w:r>
      <w:r>
        <w:t>D.,</w:t>
      </w:r>
      <w:r>
        <w:rPr>
          <w:spacing w:val="-14"/>
        </w:rPr>
        <w:t xml:space="preserve"> </w:t>
      </w:r>
      <w:r>
        <w:t>Gama,</w:t>
      </w:r>
      <w:r>
        <w:rPr>
          <w:spacing w:val="2"/>
        </w:rPr>
        <w:t xml:space="preserve"> </w:t>
      </w:r>
      <w:r>
        <w:t>A.</w:t>
      </w:r>
      <w:r>
        <w:rPr>
          <w:spacing w:val="-10"/>
        </w:rPr>
        <w:t xml:space="preserve"> </w:t>
      </w:r>
      <w:r>
        <w:t>P.</w:t>
      </w:r>
      <w:r>
        <w:rPr>
          <w:spacing w:val="-14"/>
        </w:rPr>
        <w:t xml:space="preserve"> </w:t>
      </w:r>
      <w:r>
        <w:t>M.,</w:t>
      </w:r>
      <w:r>
        <w:rPr>
          <w:spacing w:val="3"/>
        </w:rPr>
        <w:t xml:space="preserve"> </w:t>
      </w:r>
      <w:r>
        <w:t>&amp;</w:t>
      </w:r>
      <w:r>
        <w:rPr>
          <w:spacing w:val="-13"/>
        </w:rPr>
        <w:t xml:space="preserve"> </w:t>
      </w:r>
      <w:r>
        <w:t>Gulamhussen,</w:t>
      </w:r>
      <w:r>
        <w:rPr>
          <w:spacing w:val="28"/>
        </w:rPr>
        <w:t xml:space="preserve"> </w:t>
      </w:r>
      <w:r>
        <w:t>M.</w:t>
      </w:r>
      <w:r>
        <w:rPr>
          <w:spacing w:val="-1"/>
        </w:rPr>
        <w:t xml:space="preserve"> </w:t>
      </w:r>
      <w:r>
        <w:t>A.</w:t>
      </w:r>
      <w:r>
        <w:rPr>
          <w:spacing w:val="-13"/>
        </w:rPr>
        <w:t xml:space="preserve"> </w:t>
      </w:r>
      <w:r>
        <w:t>(2018).</w:t>
      </w:r>
      <w:r>
        <w:rPr>
          <w:spacing w:val="14"/>
        </w:rPr>
        <w:t xml:space="preserve"> </w:t>
      </w:r>
      <w:r>
        <w:t>Defaults</w:t>
      </w:r>
      <w:r>
        <w:rPr>
          <w:spacing w:val="-1"/>
        </w:rPr>
        <w:t xml:space="preserve"> </w:t>
      </w:r>
      <w:r>
        <w:t>in</w:t>
      </w:r>
      <w:r>
        <w:rPr>
          <w:spacing w:val="19"/>
        </w:rPr>
        <w:t xml:space="preserve"> </w:t>
      </w:r>
      <w:r>
        <w:t>bank</w:t>
      </w:r>
      <w:r>
        <w:rPr>
          <w:spacing w:val="-11"/>
        </w:rPr>
        <w:t xml:space="preserve"> </w:t>
      </w:r>
      <w:r>
        <w:t>loans</w:t>
      </w:r>
      <w:r>
        <w:rPr>
          <w:spacing w:val="12"/>
        </w:rPr>
        <w:t xml:space="preserve"> </w:t>
      </w:r>
      <w:r>
        <w:t>to</w:t>
      </w:r>
      <w:r>
        <w:rPr>
          <w:spacing w:val="5"/>
        </w:rPr>
        <w:t xml:space="preserve"> </w:t>
      </w:r>
      <w:r>
        <w:t>SMEs during</w:t>
      </w:r>
      <w:r>
        <w:rPr>
          <w:spacing w:val="18"/>
        </w:rPr>
        <w:t xml:space="preserve"> </w:t>
      </w:r>
      <w:r>
        <w:rPr>
          <w:spacing w:val="-5"/>
        </w:rPr>
        <w:t>the</w:t>
      </w:r>
    </w:p>
    <w:p w:rsidR="00143FDB" w:rsidRDefault="006A44E3">
      <w:pPr>
        <w:spacing w:before="18" w:line="271" w:lineRule="auto"/>
        <w:ind w:left="833" w:right="68"/>
        <w:jc w:val="both"/>
      </w:pPr>
      <w:r>
        <w:t xml:space="preserve">financial crisis. </w:t>
      </w:r>
      <w:r>
        <w:rPr>
          <w:i/>
        </w:rPr>
        <w:t>Small Business Economics</w:t>
      </w:r>
      <w:r>
        <w:t xml:space="preserve">, </w:t>
      </w:r>
      <w:r>
        <w:rPr>
          <w:i/>
        </w:rPr>
        <w:t>51</w:t>
      </w:r>
      <w:r>
        <w:t>(3), 591–608. Scopus.</w:t>
      </w:r>
      <w:r>
        <w:rPr>
          <w:spacing w:val="40"/>
        </w:rPr>
        <w:t xml:space="preserve"> </w:t>
      </w:r>
      <w:r>
        <w:rPr>
          <w:spacing w:val="-2"/>
        </w:rPr>
        <w:t>https://doi.org/10.1007/s11187-017-9944-9</w:t>
      </w:r>
    </w:p>
    <w:p w:rsidR="00143FDB" w:rsidRDefault="006A44E3">
      <w:pPr>
        <w:pStyle w:val="BodyText"/>
        <w:spacing w:before="3"/>
      </w:pPr>
      <w:r>
        <w:t>Elbersci,</w:t>
      </w:r>
      <w:r>
        <w:rPr>
          <w:spacing w:val="30"/>
        </w:rPr>
        <w:t xml:space="preserve"> </w:t>
      </w:r>
      <w:r>
        <w:t>P.</w:t>
      </w:r>
      <w:r>
        <w:rPr>
          <w:spacing w:val="20"/>
        </w:rPr>
        <w:t xml:space="preserve"> </w:t>
      </w:r>
      <w:r>
        <w:t>C.</w:t>
      </w:r>
      <w:r>
        <w:rPr>
          <w:spacing w:val="18"/>
        </w:rPr>
        <w:t xml:space="preserve"> </w:t>
      </w:r>
      <w:r>
        <w:t>(2022).</w:t>
      </w:r>
      <w:r>
        <w:rPr>
          <w:spacing w:val="35"/>
        </w:rPr>
        <w:t xml:space="preserve"> </w:t>
      </w:r>
      <w:r>
        <w:t>On</w:t>
      </w:r>
      <w:r>
        <w:rPr>
          <w:spacing w:val="20"/>
        </w:rPr>
        <w:t xml:space="preserve"> </w:t>
      </w:r>
      <w:r>
        <w:t>the</w:t>
      </w:r>
      <w:r>
        <w:rPr>
          <w:spacing w:val="21"/>
        </w:rPr>
        <w:t xml:space="preserve"> </w:t>
      </w:r>
      <w:r>
        <w:t>Ontology</w:t>
      </w:r>
      <w:r>
        <w:rPr>
          <w:spacing w:val="50"/>
        </w:rPr>
        <w:t xml:space="preserve"> </w:t>
      </w:r>
      <w:r>
        <w:t>and</w:t>
      </w:r>
      <w:r>
        <w:rPr>
          <w:spacing w:val="23"/>
        </w:rPr>
        <w:t xml:space="preserve"> </w:t>
      </w:r>
      <w:r>
        <w:t>Metaphysics</w:t>
      </w:r>
      <w:r>
        <w:rPr>
          <w:spacing w:val="34"/>
        </w:rPr>
        <w:t xml:space="preserve"> </w:t>
      </w:r>
      <w:r>
        <w:t>of</w:t>
      </w:r>
      <w:r>
        <w:rPr>
          <w:spacing w:val="30"/>
        </w:rPr>
        <w:t xml:space="preserve"> </w:t>
      </w:r>
      <w:r>
        <w:t>Legal</w:t>
      </w:r>
      <w:r>
        <w:rPr>
          <w:spacing w:val="15"/>
        </w:rPr>
        <w:t xml:space="preserve"> </w:t>
      </w:r>
      <w:r>
        <w:t>Norms.</w:t>
      </w:r>
      <w:r>
        <w:rPr>
          <w:spacing w:val="35"/>
        </w:rPr>
        <w:t xml:space="preserve"> </w:t>
      </w:r>
      <w:r>
        <w:rPr>
          <w:i/>
        </w:rPr>
        <w:t>Isonomia</w:t>
      </w:r>
      <w:r>
        <w:t>,</w:t>
      </w:r>
      <w:r>
        <w:rPr>
          <w:spacing w:val="-9"/>
        </w:rPr>
        <w:t xml:space="preserve"> </w:t>
      </w:r>
      <w:r>
        <w:rPr>
          <w:i/>
        </w:rPr>
        <w:t>2022</w:t>
      </w:r>
      <w:r>
        <w:t>(57),</w:t>
      </w:r>
      <w:r>
        <w:rPr>
          <w:spacing w:val="-9"/>
        </w:rPr>
        <w:t xml:space="preserve"> </w:t>
      </w:r>
      <w:r>
        <w:rPr>
          <w:spacing w:val="-2"/>
        </w:rPr>
        <w:t>34–68.</w:t>
      </w:r>
    </w:p>
    <w:p w:rsidR="00143FDB" w:rsidRDefault="006A44E3">
      <w:pPr>
        <w:pStyle w:val="BodyText"/>
        <w:spacing w:before="44"/>
        <w:ind w:left="833"/>
      </w:pPr>
      <w:r>
        <w:t>Scopus.</w:t>
      </w:r>
      <w:r>
        <w:rPr>
          <w:spacing w:val="-5"/>
        </w:rPr>
        <w:t xml:space="preserve"> </w:t>
      </w:r>
      <w:r>
        <w:rPr>
          <w:spacing w:val="-2"/>
        </w:rPr>
        <w:t>https://doi.org/10.5347/isonomian57/2022.455</w:t>
      </w:r>
    </w:p>
    <w:p w:rsidR="00143FDB" w:rsidRDefault="006A44E3">
      <w:pPr>
        <w:spacing w:before="33" w:line="285" w:lineRule="auto"/>
        <w:ind w:left="833" w:hanging="720"/>
      </w:pPr>
      <w:r>
        <w:t>Ernst, H. (2022).</w:t>
      </w:r>
      <w:r>
        <w:rPr>
          <w:spacing w:val="27"/>
        </w:rPr>
        <w:t xml:space="preserve"> </w:t>
      </w:r>
      <w:r>
        <w:t xml:space="preserve">Presumptive Ownership of Real Property. </w:t>
      </w:r>
      <w:r>
        <w:rPr>
          <w:i/>
        </w:rPr>
        <w:t>Collected Papers of the Faculty of Law of the University of Rijeka</w:t>
      </w:r>
      <w:r>
        <w:t xml:space="preserve">, </w:t>
      </w:r>
      <w:r>
        <w:rPr>
          <w:i/>
        </w:rPr>
        <w:t>43</w:t>
      </w:r>
      <w:r>
        <w:t>(3), 737–769. Scopus. https://doi.org/10.30925/zpfsr.43.3.11</w:t>
      </w:r>
    </w:p>
    <w:p w:rsidR="00143FDB" w:rsidRDefault="006A44E3">
      <w:pPr>
        <w:spacing w:line="273" w:lineRule="auto"/>
        <w:ind w:left="833" w:hanging="720"/>
      </w:pPr>
      <w:r>
        <w:t>Febrianto,</w:t>
      </w:r>
      <w:r>
        <w:rPr>
          <w:spacing w:val="-10"/>
        </w:rPr>
        <w:t xml:space="preserve"> </w:t>
      </w:r>
      <w:r>
        <w:t>S.,</w:t>
      </w:r>
      <w:r>
        <w:rPr>
          <w:spacing w:val="-13"/>
        </w:rPr>
        <w:t xml:space="preserve"> </w:t>
      </w:r>
      <w:r>
        <w:t>&amp;</w:t>
      </w:r>
      <w:r>
        <w:rPr>
          <w:spacing w:val="-14"/>
        </w:rPr>
        <w:t xml:space="preserve"> </w:t>
      </w:r>
      <w:r>
        <w:t>Ayunda,</w:t>
      </w:r>
      <w:r>
        <w:rPr>
          <w:spacing w:val="-2"/>
        </w:rPr>
        <w:t xml:space="preserve"> </w:t>
      </w:r>
      <w:r>
        <w:t>D.</w:t>
      </w:r>
      <w:r>
        <w:rPr>
          <w:spacing w:val="-10"/>
        </w:rPr>
        <w:t xml:space="preserve"> </w:t>
      </w:r>
      <w:r>
        <w:t>(2019).</w:t>
      </w:r>
      <w:r>
        <w:rPr>
          <w:spacing w:val="-5"/>
        </w:rPr>
        <w:t xml:space="preserve"> </w:t>
      </w:r>
      <w:r>
        <w:t>The</w:t>
      </w:r>
      <w:r>
        <w:rPr>
          <w:spacing w:val="-16"/>
        </w:rPr>
        <w:t xml:space="preserve"> </w:t>
      </w:r>
      <w:r>
        <w:t>implementation</w:t>
      </w:r>
      <w:r>
        <w:rPr>
          <w:spacing w:val="40"/>
        </w:rPr>
        <w:t xml:space="preserve"> </w:t>
      </w:r>
      <w:r>
        <w:t>of</w:t>
      </w:r>
      <w:r>
        <w:rPr>
          <w:spacing w:val="-5"/>
        </w:rPr>
        <w:t xml:space="preserve"> </w:t>
      </w:r>
      <w:r>
        <w:t>execution</w:t>
      </w:r>
      <w:r>
        <w:rPr>
          <w:spacing w:val="-10"/>
        </w:rPr>
        <w:t xml:space="preserve"> </w:t>
      </w:r>
      <w:r>
        <w:t>auction by</w:t>
      </w:r>
      <w:r>
        <w:rPr>
          <w:spacing w:val="-13"/>
        </w:rPr>
        <w:t xml:space="preserve"> </w:t>
      </w:r>
      <w:r>
        <w:t>creditors</w:t>
      </w:r>
      <w:r>
        <w:rPr>
          <w:spacing w:val="-2"/>
        </w:rPr>
        <w:t xml:space="preserve"> </w:t>
      </w:r>
      <w:r>
        <w:t>on</w:t>
      </w:r>
      <w:r>
        <w:rPr>
          <w:spacing w:val="-13"/>
        </w:rPr>
        <w:t xml:space="preserve"> </w:t>
      </w:r>
      <w:r>
        <w:t>debtor</w:t>
      </w:r>
      <w:r>
        <w:rPr>
          <w:spacing w:val="-4"/>
        </w:rPr>
        <w:t xml:space="preserve"> </w:t>
      </w:r>
      <w:r>
        <w:t>rights’ guarantee</w:t>
      </w:r>
      <w:r>
        <w:rPr>
          <w:spacing w:val="31"/>
        </w:rPr>
        <w:t xml:space="preserve"> </w:t>
      </w:r>
      <w:r>
        <w:t>in</w:t>
      </w:r>
      <w:r>
        <w:rPr>
          <w:spacing w:val="40"/>
        </w:rPr>
        <w:t xml:space="preserve"> </w:t>
      </w:r>
      <w:r>
        <w:t>the</w:t>
      </w:r>
      <w:r>
        <w:rPr>
          <w:spacing w:val="31"/>
        </w:rPr>
        <w:t xml:space="preserve"> </w:t>
      </w:r>
      <w:r>
        <w:t>office</w:t>
      </w:r>
      <w:r>
        <w:rPr>
          <w:spacing w:val="29"/>
        </w:rPr>
        <w:t xml:space="preserve"> </w:t>
      </w:r>
      <w:r>
        <w:t>of</w:t>
      </w:r>
      <w:r>
        <w:rPr>
          <w:spacing w:val="29"/>
        </w:rPr>
        <w:t xml:space="preserve"> </w:t>
      </w:r>
      <w:r>
        <w:t>state</w:t>
      </w:r>
      <w:r>
        <w:rPr>
          <w:spacing w:val="31"/>
        </w:rPr>
        <w:t xml:space="preserve"> </w:t>
      </w:r>
      <w:r>
        <w:t>assets</w:t>
      </w:r>
      <w:r>
        <w:rPr>
          <w:spacing w:val="31"/>
        </w:rPr>
        <w:t xml:space="preserve"> </w:t>
      </w:r>
      <w:r>
        <w:t>and</w:t>
      </w:r>
      <w:r>
        <w:rPr>
          <w:spacing w:val="31"/>
        </w:rPr>
        <w:t xml:space="preserve"> </w:t>
      </w:r>
      <w:r>
        <w:t>auction</w:t>
      </w:r>
      <w:r>
        <w:rPr>
          <w:spacing w:val="40"/>
        </w:rPr>
        <w:t xml:space="preserve"> </w:t>
      </w:r>
      <w:r>
        <w:t>services</w:t>
      </w:r>
      <w:r>
        <w:rPr>
          <w:spacing w:val="29"/>
        </w:rPr>
        <w:t xml:space="preserve"> </w:t>
      </w:r>
      <w:r>
        <w:t>(KPKNL).</w:t>
      </w:r>
      <w:r>
        <w:rPr>
          <w:spacing w:val="34"/>
        </w:rPr>
        <w:t xml:space="preserve"> </w:t>
      </w:r>
      <w:r>
        <w:rPr>
          <w:i/>
        </w:rPr>
        <w:t>International</w:t>
      </w:r>
      <w:r>
        <w:rPr>
          <w:i/>
          <w:spacing w:val="32"/>
        </w:rPr>
        <w:t xml:space="preserve"> </w:t>
      </w:r>
      <w:r>
        <w:rPr>
          <w:i/>
        </w:rPr>
        <w:t>Journal</w:t>
      </w:r>
      <w:r>
        <w:rPr>
          <w:i/>
          <w:spacing w:val="32"/>
        </w:rPr>
        <w:t xml:space="preserve"> </w:t>
      </w:r>
      <w:r>
        <w:rPr>
          <w:i/>
        </w:rPr>
        <w:t>of Innovation, Creativity and Change</w:t>
      </w:r>
      <w:r>
        <w:t xml:space="preserve">, </w:t>
      </w:r>
      <w:r>
        <w:rPr>
          <w:i/>
        </w:rPr>
        <w:t>10</w:t>
      </w:r>
      <w:r>
        <w:t>(5), 171–188.</w:t>
      </w:r>
      <w:r>
        <w:rPr>
          <w:spacing w:val="40"/>
        </w:rPr>
        <w:t xml:space="preserve"> </w:t>
      </w:r>
      <w:r>
        <w:t>Scopus.</w:t>
      </w:r>
    </w:p>
    <w:p w:rsidR="00143FDB" w:rsidRDefault="006A44E3">
      <w:pPr>
        <w:pStyle w:val="BodyText"/>
        <w:spacing w:line="273" w:lineRule="auto"/>
        <w:ind w:left="833" w:hanging="720"/>
        <w:jc w:val="left"/>
      </w:pPr>
      <w:r>
        <w:t>Ginting,</w:t>
      </w:r>
      <w:r>
        <w:rPr>
          <w:spacing w:val="40"/>
        </w:rPr>
        <w:t xml:space="preserve"> </w:t>
      </w:r>
      <w:r>
        <w:t>R.</w:t>
      </w:r>
      <w:r>
        <w:rPr>
          <w:spacing w:val="-9"/>
        </w:rPr>
        <w:t xml:space="preserve"> </w:t>
      </w:r>
      <w:r>
        <w:t>(2022). The Legal Perspective</w:t>
      </w:r>
      <w:r>
        <w:rPr>
          <w:spacing w:val="-8"/>
        </w:rPr>
        <w:t xml:space="preserve"> </w:t>
      </w:r>
      <w:r>
        <w:t>on</w:t>
      </w:r>
      <w:r>
        <w:rPr>
          <w:spacing w:val="-4"/>
        </w:rPr>
        <w:t xml:space="preserve"> </w:t>
      </w:r>
      <w:r>
        <w:t>Strengthening</w:t>
      </w:r>
      <w:r>
        <w:rPr>
          <w:spacing w:val="36"/>
        </w:rPr>
        <w:t xml:space="preserve"> </w:t>
      </w:r>
      <w:r>
        <w:t>the Practice</w:t>
      </w:r>
      <w:r>
        <w:rPr>
          <w:spacing w:val="-8"/>
        </w:rPr>
        <w:t xml:space="preserve"> </w:t>
      </w:r>
      <w:r>
        <w:t>of</w:t>
      </w:r>
      <w:r>
        <w:rPr>
          <w:spacing w:val="-11"/>
        </w:rPr>
        <w:t xml:space="preserve"> </w:t>
      </w:r>
      <w:r>
        <w:t>Bank Guarantees</w:t>
      </w:r>
      <w:r>
        <w:rPr>
          <w:spacing w:val="-12"/>
        </w:rPr>
        <w:t xml:space="preserve"> </w:t>
      </w:r>
      <w:r>
        <w:t>in Indonesia: Revisiting</w:t>
      </w:r>
      <w:r>
        <w:rPr>
          <w:spacing w:val="35"/>
        </w:rPr>
        <w:t xml:space="preserve"> </w:t>
      </w:r>
      <w:r>
        <w:t>Provisions</w:t>
      </w:r>
      <w:r>
        <w:rPr>
          <w:spacing w:val="36"/>
        </w:rPr>
        <w:t xml:space="preserve"> </w:t>
      </w:r>
      <w:r>
        <w:t xml:space="preserve">Related to Payment. </w:t>
      </w:r>
      <w:r>
        <w:rPr>
          <w:i/>
        </w:rPr>
        <w:t>Journal of Central Banking Law and Institutions</w:t>
      </w:r>
      <w:r>
        <w:t>,</w:t>
      </w:r>
      <w:r>
        <w:rPr>
          <w:spacing w:val="-3"/>
        </w:rPr>
        <w:t xml:space="preserve"> </w:t>
      </w:r>
      <w:r>
        <w:rPr>
          <w:i/>
        </w:rPr>
        <w:t>1</w:t>
      </w:r>
      <w:r>
        <w:t>(2), 215–236.</w:t>
      </w:r>
      <w:r>
        <w:rPr>
          <w:spacing w:val="40"/>
        </w:rPr>
        <w:t xml:space="preserve"> </w:t>
      </w:r>
      <w:r>
        <w:t>Scopus. https://doi.org/10.21098/jcli.v1i2.16</w:t>
      </w:r>
    </w:p>
    <w:p w:rsidR="00143FDB" w:rsidRDefault="006A44E3">
      <w:pPr>
        <w:pStyle w:val="BodyText"/>
        <w:tabs>
          <w:tab w:val="left" w:pos="1685"/>
          <w:tab w:val="left" w:pos="2959"/>
          <w:tab w:val="left" w:pos="3814"/>
          <w:tab w:val="left" w:pos="4726"/>
          <w:tab w:val="left" w:pos="5343"/>
          <w:tab w:val="left" w:pos="6371"/>
          <w:tab w:val="left" w:pos="7196"/>
          <w:tab w:val="left" w:pos="8293"/>
        </w:tabs>
        <w:spacing w:line="278" w:lineRule="auto"/>
        <w:ind w:left="242" w:right="58" w:firstLine="14"/>
        <w:jc w:val="right"/>
      </w:pPr>
      <w:r>
        <w:t>Godlewski,</w:t>
      </w:r>
      <w:r>
        <w:rPr>
          <w:spacing w:val="39"/>
        </w:rPr>
        <w:t xml:space="preserve"> </w:t>
      </w:r>
      <w:r>
        <w:t>C.</w:t>
      </w:r>
      <w:r>
        <w:rPr>
          <w:spacing w:val="-4"/>
        </w:rPr>
        <w:t xml:space="preserve"> </w:t>
      </w:r>
      <w:r>
        <w:t>J.</w:t>
      </w:r>
      <w:r>
        <w:rPr>
          <w:spacing w:val="-1"/>
        </w:rPr>
        <w:t xml:space="preserve"> </w:t>
      </w:r>
      <w:r>
        <w:t>(2020).</w:t>
      </w:r>
      <w:r>
        <w:rPr>
          <w:spacing w:val="37"/>
        </w:rPr>
        <w:t xml:space="preserve"> </w:t>
      </w:r>
      <w:r>
        <w:t>How</w:t>
      </w:r>
      <w:r>
        <w:rPr>
          <w:spacing w:val="-2"/>
        </w:rPr>
        <w:t xml:space="preserve"> </w:t>
      </w:r>
      <w:r>
        <w:t>legal and</w:t>
      </w:r>
      <w:r>
        <w:rPr>
          <w:spacing w:val="-3"/>
        </w:rPr>
        <w:t xml:space="preserve"> </w:t>
      </w:r>
      <w:r>
        <w:t>institutional</w:t>
      </w:r>
      <w:r>
        <w:rPr>
          <w:spacing w:val="40"/>
        </w:rPr>
        <w:t xml:space="preserve"> </w:t>
      </w:r>
      <w:r>
        <w:t>environments</w:t>
      </w:r>
      <w:r>
        <w:rPr>
          <w:spacing w:val="37"/>
        </w:rPr>
        <w:t xml:space="preserve"> </w:t>
      </w:r>
      <w:r>
        <w:t>shape</w:t>
      </w:r>
      <w:r>
        <w:rPr>
          <w:spacing w:val="-1"/>
        </w:rPr>
        <w:t xml:space="preserve"> </w:t>
      </w:r>
      <w:r>
        <w:t>the</w:t>
      </w:r>
      <w:r>
        <w:rPr>
          <w:spacing w:val="-1"/>
        </w:rPr>
        <w:t xml:space="preserve"> </w:t>
      </w:r>
      <w:r>
        <w:t>private</w:t>
      </w:r>
      <w:r>
        <w:rPr>
          <w:spacing w:val="40"/>
        </w:rPr>
        <w:t xml:space="preserve"> </w:t>
      </w:r>
      <w:r>
        <w:t xml:space="preserve">debt renegotiation process? </w:t>
      </w:r>
      <w:r>
        <w:rPr>
          <w:i/>
        </w:rPr>
        <w:t>Jou</w:t>
      </w:r>
      <w:r>
        <w:rPr>
          <w:i/>
        </w:rPr>
        <w:t>rnal of Corporate Finance</w:t>
      </w:r>
      <w:r>
        <w:t xml:space="preserve">, </w:t>
      </w:r>
      <w:r>
        <w:rPr>
          <w:i/>
        </w:rPr>
        <w:t>62</w:t>
      </w:r>
      <w:r>
        <w:t>. Scopus. https://doi.org/10.1016/j.jcorpfin.2019.101555 Harahap,</w:t>
      </w:r>
      <w:r>
        <w:rPr>
          <w:spacing w:val="37"/>
        </w:rPr>
        <w:t xml:space="preserve"> </w:t>
      </w:r>
      <w:r>
        <w:t>M.</w:t>
      </w:r>
      <w:r>
        <w:rPr>
          <w:spacing w:val="71"/>
        </w:rPr>
        <w:t xml:space="preserve"> </w:t>
      </w:r>
      <w:r>
        <w:t>Y.</w:t>
      </w:r>
      <w:r>
        <w:rPr>
          <w:spacing w:val="71"/>
        </w:rPr>
        <w:t xml:space="preserve"> </w:t>
      </w:r>
      <w:r>
        <w:t>(2020).</w:t>
      </w:r>
      <w:r>
        <w:rPr>
          <w:spacing w:val="77"/>
        </w:rPr>
        <w:t xml:space="preserve"> </w:t>
      </w:r>
      <w:r>
        <w:t>Pembebanan</w:t>
      </w:r>
      <w:r>
        <w:rPr>
          <w:spacing w:val="38"/>
        </w:rPr>
        <w:t xml:space="preserve"> </w:t>
      </w:r>
      <w:r>
        <w:t>Jaminan</w:t>
      </w:r>
      <w:r>
        <w:rPr>
          <w:spacing w:val="77"/>
        </w:rPr>
        <w:t xml:space="preserve"> </w:t>
      </w:r>
      <w:r>
        <w:t>Atas</w:t>
      </w:r>
      <w:r>
        <w:rPr>
          <w:spacing w:val="71"/>
        </w:rPr>
        <w:t xml:space="preserve"> </w:t>
      </w:r>
      <w:r>
        <w:t>Benda</w:t>
      </w:r>
      <w:r>
        <w:rPr>
          <w:spacing w:val="74"/>
        </w:rPr>
        <w:t xml:space="preserve"> </w:t>
      </w:r>
      <w:r>
        <w:t>Benda</w:t>
      </w:r>
      <w:r>
        <w:rPr>
          <w:spacing w:val="71"/>
        </w:rPr>
        <w:t xml:space="preserve"> </w:t>
      </w:r>
      <w:r>
        <w:t>Tidak</w:t>
      </w:r>
      <w:r>
        <w:rPr>
          <w:spacing w:val="74"/>
        </w:rPr>
        <w:t xml:space="preserve"> </w:t>
      </w:r>
      <w:r>
        <w:t>Bergerak</w:t>
      </w:r>
      <w:r>
        <w:rPr>
          <w:spacing w:val="38"/>
        </w:rPr>
        <w:t xml:space="preserve"> </w:t>
      </w:r>
      <w:r>
        <w:t>Dalam</w:t>
      </w:r>
      <w:r>
        <w:rPr>
          <w:spacing w:val="36"/>
        </w:rPr>
        <w:t xml:space="preserve"> </w:t>
      </w:r>
      <w:r>
        <w:t>Kontrak Pembiayaan</w:t>
      </w:r>
      <w:r>
        <w:rPr>
          <w:spacing w:val="80"/>
        </w:rPr>
        <w:t xml:space="preserve"> </w:t>
      </w:r>
      <w:r>
        <w:t>Mudharabahperspektif</w:t>
      </w:r>
      <w:r>
        <w:rPr>
          <w:spacing w:val="80"/>
        </w:rPr>
        <w:t xml:space="preserve"> </w:t>
      </w:r>
      <w:r>
        <w:t>Undang-Undang</w:t>
      </w:r>
      <w:r>
        <w:rPr>
          <w:spacing w:val="80"/>
        </w:rPr>
        <w:t xml:space="preserve"> </w:t>
      </w:r>
      <w:r>
        <w:t>Nomor</w:t>
      </w:r>
      <w:r>
        <w:rPr>
          <w:spacing w:val="80"/>
        </w:rPr>
        <w:t xml:space="preserve"> </w:t>
      </w:r>
      <w:r>
        <w:t>4</w:t>
      </w:r>
      <w:r>
        <w:rPr>
          <w:spacing w:val="80"/>
        </w:rPr>
        <w:t xml:space="preserve"> </w:t>
      </w:r>
      <w:r>
        <w:t>Tahun</w:t>
      </w:r>
      <w:r>
        <w:rPr>
          <w:spacing w:val="80"/>
        </w:rPr>
        <w:t xml:space="preserve"> </w:t>
      </w:r>
      <w:r>
        <w:t>1996</w:t>
      </w:r>
      <w:r>
        <w:rPr>
          <w:spacing w:val="80"/>
        </w:rPr>
        <w:t xml:space="preserve"> </w:t>
      </w:r>
      <w:r>
        <w:t>Tentang</w:t>
      </w:r>
      <w:r>
        <w:rPr>
          <w:spacing w:val="80"/>
        </w:rPr>
        <w:t xml:space="preserve"> </w:t>
      </w:r>
      <w:r>
        <w:t xml:space="preserve">Hak </w:t>
      </w:r>
      <w:r>
        <w:rPr>
          <w:spacing w:val="-2"/>
        </w:rPr>
        <w:t>Tangg</w:t>
      </w:r>
      <w:r>
        <w:rPr>
          <w:spacing w:val="-2"/>
        </w:rPr>
        <w:t>ungan.</w:t>
      </w:r>
      <w:r>
        <w:tab/>
      </w:r>
      <w:r>
        <w:rPr>
          <w:i/>
          <w:spacing w:val="-2"/>
        </w:rPr>
        <w:t>Jurisdictie:</w:t>
      </w:r>
      <w:r>
        <w:rPr>
          <w:i/>
        </w:rPr>
        <w:tab/>
      </w:r>
      <w:r>
        <w:rPr>
          <w:i/>
          <w:spacing w:val="-2"/>
        </w:rPr>
        <w:t>Jurnal</w:t>
      </w:r>
      <w:r>
        <w:rPr>
          <w:i/>
        </w:rPr>
        <w:tab/>
      </w:r>
      <w:r>
        <w:rPr>
          <w:i/>
          <w:spacing w:val="-2"/>
        </w:rPr>
        <w:t>Hukum</w:t>
      </w:r>
      <w:r>
        <w:rPr>
          <w:i/>
        </w:rPr>
        <w:tab/>
      </w:r>
      <w:r>
        <w:rPr>
          <w:i/>
          <w:spacing w:val="-4"/>
        </w:rPr>
        <w:t>dan</w:t>
      </w:r>
      <w:r>
        <w:rPr>
          <w:i/>
        </w:rPr>
        <w:tab/>
      </w:r>
      <w:r>
        <w:rPr>
          <w:i/>
          <w:spacing w:val="-2"/>
        </w:rPr>
        <w:t>Syariah</w:t>
      </w:r>
      <w:r>
        <w:rPr>
          <w:spacing w:val="-2"/>
        </w:rPr>
        <w:t>,</w:t>
      </w:r>
      <w:r>
        <w:tab/>
      </w:r>
      <w:r>
        <w:rPr>
          <w:i/>
          <w:spacing w:val="-2"/>
        </w:rPr>
        <w:t>11</w:t>
      </w:r>
      <w:r>
        <w:rPr>
          <w:spacing w:val="-2"/>
        </w:rPr>
        <w:t>(1),</w:t>
      </w:r>
      <w:r>
        <w:tab/>
      </w:r>
      <w:r>
        <w:rPr>
          <w:spacing w:val="-2"/>
        </w:rPr>
        <w:t>139–162.</w:t>
      </w:r>
      <w:r>
        <w:tab/>
      </w:r>
      <w:r>
        <w:rPr>
          <w:spacing w:val="-2"/>
        </w:rPr>
        <w:t>Scopus.</w:t>
      </w:r>
    </w:p>
    <w:p w:rsidR="00143FDB" w:rsidRDefault="006A44E3">
      <w:pPr>
        <w:pStyle w:val="BodyText"/>
        <w:spacing w:line="248" w:lineRule="exact"/>
        <w:ind w:left="833"/>
        <w:jc w:val="left"/>
      </w:pPr>
      <w:r>
        <w:rPr>
          <w:spacing w:val="-2"/>
        </w:rPr>
        <w:t>https://doi.org/10.18860/j.v11i1.6692</w:t>
      </w:r>
    </w:p>
    <w:p w:rsidR="00143FDB" w:rsidRDefault="006A44E3">
      <w:pPr>
        <w:pStyle w:val="BodyText"/>
        <w:spacing w:before="31"/>
        <w:jc w:val="left"/>
      </w:pPr>
      <w:r>
        <w:t>Heriawanto,</w:t>
      </w:r>
      <w:r>
        <w:rPr>
          <w:spacing w:val="24"/>
        </w:rPr>
        <w:t xml:space="preserve"> </w:t>
      </w:r>
      <w:r>
        <w:t>B.</w:t>
      </w:r>
      <w:r>
        <w:rPr>
          <w:spacing w:val="23"/>
        </w:rPr>
        <w:t xml:space="preserve"> </w:t>
      </w:r>
      <w:r>
        <w:t>K.</w:t>
      </w:r>
      <w:r>
        <w:rPr>
          <w:spacing w:val="9"/>
        </w:rPr>
        <w:t xml:space="preserve"> </w:t>
      </w:r>
      <w:r>
        <w:t>(2019).</w:t>
      </w:r>
      <w:r>
        <w:rPr>
          <w:spacing w:val="53"/>
        </w:rPr>
        <w:t xml:space="preserve"> </w:t>
      </w:r>
      <w:r>
        <w:t>Implementation</w:t>
      </w:r>
      <w:r>
        <w:rPr>
          <w:spacing w:val="54"/>
        </w:rPr>
        <w:t xml:space="preserve"> </w:t>
      </w:r>
      <w:r>
        <w:t>of</w:t>
      </w:r>
      <w:r>
        <w:rPr>
          <w:spacing w:val="35"/>
        </w:rPr>
        <w:t xml:space="preserve"> </w:t>
      </w:r>
      <w:r>
        <w:t>Fiduciary</w:t>
      </w:r>
      <w:r>
        <w:rPr>
          <w:spacing w:val="55"/>
        </w:rPr>
        <w:t xml:space="preserve"> </w:t>
      </w:r>
      <w:r>
        <w:t>Object</w:t>
      </w:r>
      <w:r>
        <w:rPr>
          <w:spacing w:val="20"/>
        </w:rPr>
        <w:t xml:space="preserve"> </w:t>
      </w:r>
      <w:r>
        <w:t>Execution</w:t>
      </w:r>
      <w:r>
        <w:rPr>
          <w:spacing w:val="42"/>
        </w:rPr>
        <w:t xml:space="preserve"> </w:t>
      </w:r>
      <w:r>
        <w:t>Based</w:t>
      </w:r>
      <w:r>
        <w:rPr>
          <w:spacing w:val="17"/>
        </w:rPr>
        <w:t xml:space="preserve"> </w:t>
      </w:r>
      <w:r>
        <w:t>on</w:t>
      </w:r>
      <w:r>
        <w:rPr>
          <w:spacing w:val="28"/>
        </w:rPr>
        <w:t xml:space="preserve"> </w:t>
      </w:r>
      <w:r>
        <w:t>Executorial</w:t>
      </w:r>
      <w:r>
        <w:rPr>
          <w:spacing w:val="35"/>
        </w:rPr>
        <w:t xml:space="preserve"> </w:t>
      </w:r>
      <w:r>
        <w:rPr>
          <w:spacing w:val="-2"/>
        </w:rPr>
        <w:t>Title.</w:t>
      </w:r>
    </w:p>
    <w:p w:rsidR="00143FDB" w:rsidRDefault="006A44E3">
      <w:pPr>
        <w:spacing w:before="32" w:line="285" w:lineRule="auto"/>
        <w:ind w:left="113" w:right="274" w:firstLine="720"/>
      </w:pPr>
      <w:r>
        <w:rPr>
          <w:i/>
        </w:rPr>
        <w:t>Legality:</w:t>
      </w:r>
      <w:r>
        <w:rPr>
          <w:i/>
          <w:spacing w:val="-14"/>
        </w:rPr>
        <w:t xml:space="preserve"> </w:t>
      </w:r>
      <w:r>
        <w:rPr>
          <w:i/>
        </w:rPr>
        <w:t>Jurnal</w:t>
      </w:r>
      <w:r>
        <w:rPr>
          <w:i/>
          <w:spacing w:val="-14"/>
        </w:rPr>
        <w:t xml:space="preserve"> </w:t>
      </w:r>
      <w:r>
        <w:rPr>
          <w:i/>
        </w:rPr>
        <w:t>Ilmiah</w:t>
      </w:r>
      <w:r>
        <w:rPr>
          <w:i/>
          <w:spacing w:val="-14"/>
        </w:rPr>
        <w:t xml:space="preserve"> </w:t>
      </w:r>
      <w:r>
        <w:rPr>
          <w:i/>
        </w:rPr>
        <w:t>Hukum</w:t>
      </w:r>
      <w:r>
        <w:t>,</w:t>
      </w:r>
      <w:r>
        <w:rPr>
          <w:spacing w:val="-22"/>
        </w:rPr>
        <w:t xml:space="preserve"> </w:t>
      </w:r>
      <w:r>
        <w:rPr>
          <w:i/>
        </w:rPr>
        <w:t>27</w:t>
      </w:r>
      <w:r>
        <w:t>(1),</w:t>
      </w:r>
      <w:r>
        <w:rPr>
          <w:spacing w:val="-21"/>
        </w:rPr>
        <w:t xml:space="preserve"> </w:t>
      </w:r>
      <w:r>
        <w:t>54–67.</w:t>
      </w:r>
      <w:r>
        <w:rPr>
          <w:spacing w:val="-14"/>
        </w:rPr>
        <w:t xml:space="preserve"> </w:t>
      </w:r>
      <w:r>
        <w:t>Scopus.</w:t>
      </w:r>
      <w:r>
        <w:rPr>
          <w:spacing w:val="-13"/>
        </w:rPr>
        <w:t xml:space="preserve"> </w:t>
      </w:r>
      <w:r>
        <w:t>https://doi.org/10.22219/jihl.v27i1.8958 Indonesian Civil</w:t>
      </w:r>
      <w:r>
        <w:rPr>
          <w:spacing w:val="40"/>
        </w:rPr>
        <w:t xml:space="preserve"> </w:t>
      </w:r>
      <w:r>
        <w:t>Law (1847).</w:t>
      </w:r>
    </w:p>
    <w:p w:rsidR="00143FDB" w:rsidRDefault="006A44E3">
      <w:pPr>
        <w:pStyle w:val="BodyText"/>
        <w:tabs>
          <w:tab w:val="left" w:pos="2184"/>
          <w:tab w:val="left" w:pos="3007"/>
          <w:tab w:val="left" w:pos="4525"/>
          <w:tab w:val="left" w:pos="6212"/>
          <w:tab w:val="left" w:pos="7518"/>
          <w:tab w:val="left" w:pos="8886"/>
        </w:tabs>
        <w:spacing w:line="273" w:lineRule="auto"/>
        <w:ind w:left="833" w:right="77" w:hanging="720"/>
        <w:jc w:val="left"/>
      </w:pPr>
      <w:r>
        <w:t>Ioannidou, V.,</w:t>
      </w:r>
      <w:r>
        <w:rPr>
          <w:spacing w:val="-12"/>
        </w:rPr>
        <w:t xml:space="preserve"> </w:t>
      </w:r>
      <w:r>
        <w:t>Pavanini,</w:t>
      </w:r>
      <w:r>
        <w:rPr>
          <w:spacing w:val="-6"/>
        </w:rPr>
        <w:t xml:space="preserve"> </w:t>
      </w:r>
      <w:r>
        <w:t>N.,</w:t>
      </w:r>
      <w:r>
        <w:rPr>
          <w:spacing w:val="-13"/>
        </w:rPr>
        <w:t xml:space="preserve"> </w:t>
      </w:r>
      <w:r>
        <w:t>&amp;</w:t>
      </w:r>
      <w:r>
        <w:rPr>
          <w:spacing w:val="-12"/>
        </w:rPr>
        <w:t xml:space="preserve"> </w:t>
      </w:r>
      <w:r>
        <w:t>Peng,</w:t>
      </w:r>
      <w:r>
        <w:rPr>
          <w:spacing w:val="-13"/>
        </w:rPr>
        <w:t xml:space="preserve"> </w:t>
      </w:r>
      <w:r>
        <w:t>Y.</w:t>
      </w:r>
      <w:r>
        <w:rPr>
          <w:spacing w:val="-13"/>
        </w:rPr>
        <w:t xml:space="preserve"> </w:t>
      </w:r>
      <w:r>
        <w:t>(2022). Collateral</w:t>
      </w:r>
      <w:r>
        <w:rPr>
          <w:spacing w:val="-7"/>
        </w:rPr>
        <w:t xml:space="preserve"> </w:t>
      </w:r>
      <w:r>
        <w:t>and</w:t>
      </w:r>
      <w:r>
        <w:rPr>
          <w:spacing w:val="-9"/>
        </w:rPr>
        <w:t xml:space="preserve"> </w:t>
      </w:r>
      <w:r>
        <w:t>asymmetric</w:t>
      </w:r>
      <w:r>
        <w:rPr>
          <w:spacing w:val="-1"/>
        </w:rPr>
        <w:t xml:space="preserve"> </w:t>
      </w:r>
      <w:r>
        <w:t>information</w:t>
      </w:r>
      <w:r>
        <w:rPr>
          <w:spacing w:val="26"/>
        </w:rPr>
        <w:t xml:space="preserve"> </w:t>
      </w:r>
      <w:r>
        <w:t>in</w:t>
      </w:r>
      <w:r>
        <w:rPr>
          <w:spacing w:val="-2"/>
        </w:rPr>
        <w:t xml:space="preserve"> </w:t>
      </w:r>
      <w:r>
        <w:t>lending</w:t>
      </w:r>
      <w:r>
        <w:rPr>
          <w:spacing w:val="24"/>
        </w:rPr>
        <w:t xml:space="preserve"> </w:t>
      </w:r>
      <w:r>
        <w:t xml:space="preserve">markets. </w:t>
      </w:r>
      <w:r>
        <w:rPr>
          <w:i/>
          <w:spacing w:val="-2"/>
        </w:rPr>
        <w:t>Journal</w:t>
      </w:r>
      <w:r>
        <w:rPr>
          <w:i/>
        </w:rPr>
        <w:tab/>
      </w:r>
      <w:r>
        <w:rPr>
          <w:i/>
          <w:spacing w:val="-6"/>
        </w:rPr>
        <w:t>of</w:t>
      </w:r>
      <w:r>
        <w:rPr>
          <w:i/>
        </w:rPr>
        <w:tab/>
      </w:r>
      <w:r>
        <w:rPr>
          <w:i/>
          <w:spacing w:val="-2"/>
        </w:rPr>
        <w:t>Financial</w:t>
      </w:r>
      <w:r>
        <w:rPr>
          <w:i/>
        </w:rPr>
        <w:tab/>
      </w:r>
      <w:r>
        <w:rPr>
          <w:i/>
          <w:spacing w:val="-2"/>
        </w:rPr>
        <w:t>Economics</w:t>
      </w:r>
      <w:r>
        <w:rPr>
          <w:spacing w:val="-2"/>
        </w:rPr>
        <w:t>,</w:t>
      </w:r>
      <w:r>
        <w:tab/>
      </w:r>
      <w:r>
        <w:rPr>
          <w:i/>
          <w:spacing w:val="-2"/>
        </w:rPr>
        <w:t>144</w:t>
      </w:r>
      <w:r>
        <w:rPr>
          <w:spacing w:val="-2"/>
        </w:rPr>
        <w:t>(1),</w:t>
      </w:r>
      <w:r>
        <w:tab/>
      </w:r>
      <w:r>
        <w:rPr>
          <w:spacing w:val="-2"/>
        </w:rPr>
        <w:t>93–121.</w:t>
      </w:r>
      <w:r>
        <w:tab/>
      </w:r>
      <w:r>
        <w:rPr>
          <w:spacing w:val="-2"/>
        </w:rPr>
        <w:t>Scopus. https://doi.org/10.1016/j.jfineco.2021.12.010</w:t>
      </w:r>
    </w:p>
    <w:p w:rsidR="00143FDB" w:rsidRDefault="006A44E3">
      <w:pPr>
        <w:pStyle w:val="BodyText"/>
        <w:tabs>
          <w:tab w:val="left" w:pos="1584"/>
          <w:tab w:val="left" w:pos="2352"/>
          <w:tab w:val="left" w:pos="3641"/>
          <w:tab w:val="left" w:pos="4164"/>
          <w:tab w:val="left" w:pos="5230"/>
          <w:tab w:val="left" w:pos="6901"/>
          <w:tab w:val="left" w:pos="7758"/>
          <w:tab w:val="left" w:pos="8886"/>
        </w:tabs>
        <w:spacing w:line="273" w:lineRule="auto"/>
        <w:ind w:left="833" w:right="77" w:hanging="720"/>
        <w:jc w:val="left"/>
      </w:pPr>
      <w:r>
        <w:t>Jiayuan, D. (2023). The effects</w:t>
      </w:r>
      <w:r>
        <w:rPr>
          <w:spacing w:val="-14"/>
        </w:rPr>
        <w:t xml:space="preserve"> </w:t>
      </w:r>
      <w:r>
        <w:t>of registration and delivery in the transactions of immovables</w:t>
      </w:r>
      <w:r>
        <w:rPr>
          <w:spacing w:val="40"/>
        </w:rPr>
        <w:t xml:space="preserve"> </w:t>
      </w:r>
      <w:r>
        <w:t xml:space="preserve">in Chinese </w:t>
      </w:r>
      <w:r>
        <w:rPr>
          <w:spacing w:val="-2"/>
        </w:rPr>
        <w:t>Civil</w:t>
      </w:r>
      <w:r>
        <w:tab/>
      </w:r>
      <w:r>
        <w:rPr>
          <w:spacing w:val="-4"/>
        </w:rPr>
        <w:t>Law.</w:t>
      </w:r>
      <w:r>
        <w:tab/>
      </w:r>
      <w:r>
        <w:rPr>
          <w:i/>
          <w:spacing w:val="-2"/>
        </w:rPr>
        <w:t>Cuadernos</w:t>
      </w:r>
      <w:r>
        <w:rPr>
          <w:i/>
        </w:rPr>
        <w:tab/>
      </w:r>
      <w:r>
        <w:rPr>
          <w:i/>
          <w:spacing w:val="-6"/>
        </w:rPr>
        <w:t>de</w:t>
      </w:r>
      <w:r>
        <w:rPr>
          <w:i/>
        </w:rPr>
        <w:tab/>
      </w:r>
      <w:r>
        <w:rPr>
          <w:i/>
          <w:spacing w:val="-2"/>
        </w:rPr>
        <w:t>Derecho</w:t>
      </w:r>
      <w:r>
        <w:rPr>
          <w:i/>
        </w:rPr>
        <w:tab/>
      </w:r>
      <w:r>
        <w:rPr>
          <w:i/>
          <w:spacing w:val="-2"/>
        </w:rPr>
        <w:t>Transnacional</w:t>
      </w:r>
      <w:r>
        <w:rPr>
          <w:spacing w:val="-2"/>
        </w:rPr>
        <w:t>,</w:t>
      </w:r>
      <w:r>
        <w:tab/>
      </w:r>
      <w:r>
        <w:rPr>
          <w:i/>
          <w:spacing w:val="-2"/>
        </w:rPr>
        <w:t>15</w:t>
      </w:r>
      <w:r>
        <w:rPr>
          <w:spacing w:val="-2"/>
        </w:rPr>
        <w:t>(1),</w:t>
      </w:r>
      <w:r>
        <w:tab/>
      </w:r>
      <w:r>
        <w:rPr>
          <w:spacing w:val="-2"/>
        </w:rPr>
        <w:t>879–897.</w:t>
      </w:r>
      <w:r>
        <w:tab/>
      </w:r>
      <w:r>
        <w:rPr>
          <w:spacing w:val="-2"/>
        </w:rPr>
        <w:t>Scopus. https://doi.org/10.20318/cdt.2023.7567</w:t>
      </w:r>
    </w:p>
    <w:p w:rsidR="00143FDB" w:rsidRDefault="006A44E3">
      <w:pPr>
        <w:pStyle w:val="BodyText"/>
        <w:tabs>
          <w:tab w:val="left" w:pos="1528"/>
          <w:tab w:val="left" w:pos="2189"/>
          <w:tab w:val="left" w:pos="3403"/>
          <w:tab w:val="left" w:pos="4280"/>
          <w:tab w:val="left" w:pos="5300"/>
          <w:tab w:val="left" w:pos="6337"/>
          <w:tab w:val="left" w:pos="7103"/>
          <w:tab w:val="left" w:pos="8260"/>
        </w:tabs>
        <w:spacing w:line="273" w:lineRule="auto"/>
        <w:ind w:left="209" w:right="65" w:hanging="36"/>
        <w:jc w:val="right"/>
      </w:pPr>
      <w:r>
        <w:t>Kamilah,</w:t>
      </w:r>
      <w:r>
        <w:rPr>
          <w:spacing w:val="40"/>
        </w:rPr>
        <w:t xml:space="preserve"> </w:t>
      </w:r>
      <w:r>
        <w:t>A. (2021).</w:t>
      </w:r>
      <w:r>
        <w:rPr>
          <w:spacing w:val="40"/>
        </w:rPr>
        <w:t xml:space="preserve"> </w:t>
      </w:r>
      <w:r>
        <w:t>Regress Rights</w:t>
      </w:r>
      <w:r>
        <w:rPr>
          <w:spacing w:val="40"/>
        </w:rPr>
        <w:t xml:space="preserve"> </w:t>
      </w:r>
      <w:r>
        <w:t>as</w:t>
      </w:r>
      <w:r>
        <w:rPr>
          <w:spacing w:val="30"/>
        </w:rPr>
        <w:t xml:space="preserve"> </w:t>
      </w:r>
      <w:r>
        <w:t>a</w:t>
      </w:r>
      <w:r>
        <w:rPr>
          <w:spacing w:val="30"/>
        </w:rPr>
        <w:t xml:space="preserve"> </w:t>
      </w:r>
      <w:r>
        <w:t>Form</w:t>
      </w:r>
      <w:r>
        <w:rPr>
          <w:spacing w:val="27"/>
        </w:rPr>
        <w:t xml:space="preserve"> </w:t>
      </w:r>
      <w:r>
        <w:t>of</w:t>
      </w:r>
      <w:r>
        <w:rPr>
          <w:spacing w:val="40"/>
        </w:rPr>
        <w:t xml:space="preserve"> </w:t>
      </w:r>
      <w:r>
        <w:t>Warranty the</w:t>
      </w:r>
      <w:r>
        <w:rPr>
          <w:spacing w:val="30"/>
        </w:rPr>
        <w:t xml:space="preserve"> </w:t>
      </w:r>
      <w:r>
        <w:t>Indonesian</w:t>
      </w:r>
      <w:r>
        <w:rPr>
          <w:spacing w:val="40"/>
        </w:rPr>
        <w:t xml:space="preserve"> </w:t>
      </w:r>
      <w:r>
        <w:t>Government</w:t>
      </w:r>
      <w:r>
        <w:rPr>
          <w:spacing w:val="40"/>
        </w:rPr>
        <w:t xml:space="preserve"> </w:t>
      </w:r>
      <w:r>
        <w:t>in</w:t>
      </w:r>
      <w:r>
        <w:rPr>
          <w:spacing w:val="40"/>
        </w:rPr>
        <w:t xml:space="preserve"> </w:t>
      </w:r>
      <w:r>
        <w:t>Financing Infrastructure Development.</w:t>
      </w:r>
      <w:r>
        <w:rPr>
          <w:spacing w:val="40"/>
        </w:rPr>
        <w:t xml:space="preserve"> </w:t>
      </w:r>
      <w:r>
        <w:rPr>
          <w:i/>
        </w:rPr>
        <w:t>Journal of Legal,</w:t>
      </w:r>
      <w:r>
        <w:rPr>
          <w:i/>
          <w:spacing w:val="-5"/>
        </w:rPr>
        <w:t xml:space="preserve"> </w:t>
      </w:r>
      <w:r>
        <w:rPr>
          <w:i/>
        </w:rPr>
        <w:t>Ethical and</w:t>
      </w:r>
      <w:r>
        <w:rPr>
          <w:i/>
          <w:spacing w:val="-2"/>
        </w:rPr>
        <w:t xml:space="preserve"> </w:t>
      </w:r>
      <w:r>
        <w:rPr>
          <w:i/>
        </w:rPr>
        <w:t>Regulatory Issues</w:t>
      </w:r>
      <w:r>
        <w:t>,</w:t>
      </w:r>
      <w:r>
        <w:rPr>
          <w:spacing w:val="-6"/>
        </w:rPr>
        <w:t xml:space="preserve"> </w:t>
      </w:r>
      <w:r>
        <w:rPr>
          <w:i/>
        </w:rPr>
        <w:t>24</w:t>
      </w:r>
      <w:r>
        <w:t>(3),</w:t>
      </w:r>
      <w:r>
        <w:rPr>
          <w:spacing w:val="-5"/>
        </w:rPr>
        <w:t xml:space="preserve"> </w:t>
      </w:r>
      <w:r>
        <w:t>1–11. Scopus. Kartika,</w:t>
      </w:r>
      <w:r>
        <w:rPr>
          <w:spacing w:val="30"/>
        </w:rPr>
        <w:t xml:space="preserve"> </w:t>
      </w:r>
      <w:r>
        <w:t>A.</w:t>
      </w:r>
      <w:r>
        <w:rPr>
          <w:spacing w:val="29"/>
        </w:rPr>
        <w:t xml:space="preserve"> </w:t>
      </w:r>
      <w:r>
        <w:t>W.</w:t>
      </w:r>
      <w:r>
        <w:rPr>
          <w:spacing w:val="29"/>
        </w:rPr>
        <w:t xml:space="preserve"> </w:t>
      </w:r>
      <w:r>
        <w:t>(2019).</w:t>
      </w:r>
      <w:r>
        <w:rPr>
          <w:spacing w:val="37"/>
        </w:rPr>
        <w:t xml:space="preserve"> </w:t>
      </w:r>
      <w:r>
        <w:t>The</w:t>
      </w:r>
      <w:r>
        <w:rPr>
          <w:spacing w:val="32"/>
        </w:rPr>
        <w:t xml:space="preserve"> </w:t>
      </w:r>
      <w:r>
        <w:t>Existence</w:t>
      </w:r>
      <w:r>
        <w:rPr>
          <w:spacing w:val="37"/>
        </w:rPr>
        <w:t xml:space="preserve"> </w:t>
      </w:r>
      <w:r>
        <w:t>of</w:t>
      </w:r>
      <w:r>
        <w:rPr>
          <w:spacing w:val="37"/>
        </w:rPr>
        <w:t xml:space="preserve"> </w:t>
      </w:r>
      <w:r>
        <w:t>Decision</w:t>
      </w:r>
      <w:r>
        <w:rPr>
          <w:spacing w:val="35"/>
        </w:rPr>
        <w:t xml:space="preserve"> </w:t>
      </w:r>
      <w:r>
        <w:t>Norms</w:t>
      </w:r>
      <w:r>
        <w:rPr>
          <w:spacing w:val="39"/>
        </w:rPr>
        <w:t xml:space="preserve"> </w:t>
      </w:r>
      <w:r>
        <w:t>of</w:t>
      </w:r>
      <w:r>
        <w:rPr>
          <w:spacing w:val="37"/>
        </w:rPr>
        <w:t xml:space="preserve"> </w:t>
      </w:r>
      <w:r>
        <w:t>the</w:t>
      </w:r>
      <w:r>
        <w:rPr>
          <w:spacing w:val="37"/>
        </w:rPr>
        <w:t xml:space="preserve"> </w:t>
      </w:r>
      <w:r>
        <w:t>Constitutional</w:t>
      </w:r>
      <w:r>
        <w:rPr>
          <w:spacing w:val="67"/>
        </w:rPr>
        <w:t xml:space="preserve"> </w:t>
      </w:r>
      <w:r>
        <w:t>Court</w:t>
      </w:r>
      <w:r>
        <w:rPr>
          <w:spacing w:val="40"/>
        </w:rPr>
        <w:t xml:space="preserve"> </w:t>
      </w:r>
      <w:r>
        <w:t>as</w:t>
      </w:r>
      <w:r>
        <w:rPr>
          <w:spacing w:val="29"/>
        </w:rPr>
        <w:t xml:space="preserve"> </w:t>
      </w:r>
      <w:r>
        <w:t>a</w:t>
      </w:r>
      <w:r>
        <w:rPr>
          <w:spacing w:val="32"/>
        </w:rPr>
        <w:t xml:space="preserve"> </w:t>
      </w:r>
      <w:r>
        <w:t>Source</w:t>
      </w:r>
      <w:r>
        <w:rPr>
          <w:spacing w:val="30"/>
        </w:rPr>
        <w:t xml:space="preserve"> </w:t>
      </w:r>
      <w:r>
        <w:t xml:space="preserve">of </w:t>
      </w:r>
      <w:r>
        <w:rPr>
          <w:spacing w:val="-2"/>
        </w:rPr>
        <w:t>Legislative</w:t>
      </w:r>
      <w:r>
        <w:tab/>
      </w:r>
      <w:r>
        <w:rPr>
          <w:spacing w:val="-4"/>
        </w:rPr>
        <w:t>and</w:t>
      </w:r>
      <w:r>
        <w:tab/>
      </w:r>
      <w:r>
        <w:rPr>
          <w:spacing w:val="-2"/>
        </w:rPr>
        <w:t>Executive</w:t>
      </w:r>
      <w:r>
        <w:tab/>
      </w:r>
      <w:r>
        <w:rPr>
          <w:spacing w:val="-4"/>
        </w:rPr>
        <w:t>Laws.</w:t>
      </w:r>
      <w:r>
        <w:tab/>
      </w:r>
      <w:r>
        <w:rPr>
          <w:i/>
          <w:spacing w:val="-2"/>
        </w:rPr>
        <w:t>Lentera</w:t>
      </w:r>
      <w:r>
        <w:rPr>
          <w:i/>
        </w:rPr>
        <w:tab/>
      </w:r>
      <w:r>
        <w:rPr>
          <w:i/>
          <w:spacing w:val="-2"/>
        </w:rPr>
        <w:t>Hukum</w:t>
      </w:r>
      <w:r>
        <w:rPr>
          <w:spacing w:val="-2"/>
        </w:rPr>
        <w:t>,</w:t>
      </w:r>
      <w:r>
        <w:tab/>
      </w:r>
      <w:r>
        <w:rPr>
          <w:i/>
          <w:spacing w:val="-2"/>
        </w:rPr>
        <w:t>6</w:t>
      </w:r>
      <w:r>
        <w:rPr>
          <w:spacing w:val="-2"/>
        </w:rPr>
        <w:t>(2),</w:t>
      </w:r>
      <w:r>
        <w:tab/>
      </w:r>
      <w:r>
        <w:rPr>
          <w:spacing w:val="-2"/>
        </w:rPr>
        <w:t>309–320.</w:t>
      </w:r>
      <w:r>
        <w:tab/>
      </w:r>
      <w:r>
        <w:rPr>
          <w:spacing w:val="-2"/>
        </w:rPr>
        <w:t>Scopus.</w:t>
      </w:r>
    </w:p>
    <w:p w:rsidR="00143FDB" w:rsidRDefault="006A44E3">
      <w:pPr>
        <w:pStyle w:val="BodyText"/>
        <w:spacing w:before="7"/>
        <w:ind w:left="833"/>
        <w:jc w:val="left"/>
      </w:pPr>
      <w:r>
        <w:rPr>
          <w:spacing w:val="-2"/>
        </w:rPr>
        <w:t>https://doi.org/10.19184/ejlh.v6.i2.10495</w:t>
      </w:r>
    </w:p>
    <w:p w:rsidR="00143FDB" w:rsidRDefault="006A44E3">
      <w:pPr>
        <w:tabs>
          <w:tab w:val="left" w:pos="2947"/>
          <w:tab w:val="left" w:pos="4793"/>
          <w:tab w:val="left" w:pos="6106"/>
          <w:tab w:val="left" w:pos="7352"/>
          <w:tab w:val="left" w:pos="8886"/>
        </w:tabs>
        <w:spacing w:before="32" w:line="285" w:lineRule="auto"/>
        <w:ind w:left="833" w:right="46" w:hanging="720"/>
      </w:pPr>
      <w:r>
        <w:rPr>
          <w:noProof/>
        </w:rPr>
        <mc:AlternateContent>
          <mc:Choice Requires="wps">
            <w:drawing>
              <wp:anchor distT="0" distB="0" distL="0" distR="0" simplePos="0" relativeHeight="15731200" behindDoc="0" locked="0" layoutInCell="1" allowOverlap="1">
                <wp:simplePos x="0" y="0"/>
                <wp:positionH relativeFrom="page">
                  <wp:posOffset>728662</wp:posOffset>
                </wp:positionH>
                <wp:positionV relativeFrom="paragraph">
                  <wp:posOffset>391312</wp:posOffset>
                </wp:positionV>
                <wp:extent cx="5859145" cy="347345"/>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59145" cy="347345"/>
                        </a:xfrm>
                        <a:prstGeom prst="rect">
                          <a:avLst/>
                        </a:prstGeom>
                        <a:solidFill>
                          <a:srgbClr val="923735"/>
                        </a:solidFill>
                        <a:ln w="9525">
                          <a:solidFill>
                            <a:srgbClr val="000000"/>
                          </a:solidFill>
                          <a:prstDash val="solid"/>
                        </a:ln>
                      </wps:spPr>
                      <wps:txbx>
                        <w:txbxContent>
                          <w:p w:rsidR="00143FDB" w:rsidRDefault="006A44E3">
                            <w:pPr>
                              <w:tabs>
                                <w:tab w:val="left" w:pos="8266"/>
                              </w:tabs>
                              <w:spacing w:before="125"/>
                              <w:ind w:left="196"/>
                              <w:rPr>
                                <w:rFonts w:ascii="PMingLiU-ExtB"/>
                                <w:color w:val="000000"/>
                                <w:position w:val="1"/>
                                <w:sz w:val="18"/>
                              </w:rPr>
                            </w:pPr>
                            <w:r>
                              <w:rPr>
                                <w:b/>
                                <w:color w:val="FFFFFF"/>
                                <w:sz w:val="18"/>
                              </w:rPr>
                              <w:t>Burhan</w:t>
                            </w:r>
                            <w:r>
                              <w:rPr>
                                <w:b/>
                                <w:color w:val="FFFFFF"/>
                                <w:spacing w:val="-13"/>
                                <w:sz w:val="18"/>
                              </w:rPr>
                              <w:t xml:space="preserve"> </w:t>
                            </w:r>
                            <w:r>
                              <w:rPr>
                                <w:b/>
                                <w:color w:val="FFFFFF"/>
                                <w:sz w:val="18"/>
                              </w:rPr>
                              <w:t>Sidabariba</w:t>
                            </w:r>
                            <w:r>
                              <w:rPr>
                                <w:b/>
                                <w:color w:val="FFFFFF"/>
                                <w:spacing w:val="-6"/>
                                <w:sz w:val="18"/>
                              </w:rPr>
                              <w:t xml:space="preserve"> </w:t>
                            </w:r>
                            <w:r>
                              <w:rPr>
                                <w:i/>
                                <w:color w:val="FFFFFF"/>
                                <w:sz w:val="18"/>
                              </w:rPr>
                              <w:t>:</w:t>
                            </w:r>
                            <w:r>
                              <w:rPr>
                                <w:i/>
                                <w:color w:val="FFFFFF"/>
                                <w:spacing w:val="-1"/>
                                <w:sz w:val="18"/>
                              </w:rPr>
                              <w:t xml:space="preserve"> </w:t>
                            </w:r>
                            <w:r>
                              <w:rPr>
                                <w:i/>
                                <w:color w:val="FFFFFF"/>
                                <w:sz w:val="18"/>
                              </w:rPr>
                              <w:t>The</w:t>
                            </w:r>
                            <w:r>
                              <w:rPr>
                                <w:i/>
                                <w:color w:val="FFFFFF"/>
                                <w:spacing w:val="-12"/>
                                <w:sz w:val="18"/>
                              </w:rPr>
                              <w:t xml:space="preserve"> </w:t>
                            </w:r>
                            <w:r>
                              <w:rPr>
                                <w:i/>
                                <w:color w:val="FFFFFF"/>
                                <w:sz w:val="18"/>
                              </w:rPr>
                              <w:t>Legal</w:t>
                            </w:r>
                            <w:r>
                              <w:rPr>
                                <w:i/>
                                <w:color w:val="FFFFFF"/>
                                <w:spacing w:val="3"/>
                                <w:sz w:val="18"/>
                              </w:rPr>
                              <w:t xml:space="preserve"> </w:t>
                            </w:r>
                            <w:r>
                              <w:rPr>
                                <w:i/>
                                <w:color w:val="FFFFFF"/>
                                <w:sz w:val="18"/>
                              </w:rPr>
                              <w:t>Framework</w:t>
                            </w:r>
                            <w:r>
                              <w:rPr>
                                <w:i/>
                                <w:color w:val="FFFFFF"/>
                                <w:spacing w:val="-11"/>
                                <w:sz w:val="18"/>
                              </w:rPr>
                              <w:t xml:space="preserve"> </w:t>
                            </w:r>
                            <w:r>
                              <w:rPr>
                                <w:i/>
                                <w:color w:val="FFFFFF"/>
                                <w:sz w:val="18"/>
                              </w:rPr>
                              <w:t>and</w:t>
                            </w:r>
                            <w:r>
                              <w:rPr>
                                <w:i/>
                                <w:color w:val="FFFFFF"/>
                                <w:spacing w:val="-5"/>
                                <w:sz w:val="18"/>
                              </w:rPr>
                              <w:t xml:space="preserve"> </w:t>
                            </w:r>
                            <w:r>
                              <w:rPr>
                                <w:i/>
                                <w:color w:val="FFFFFF"/>
                                <w:sz w:val="18"/>
                              </w:rPr>
                              <w:t>Commitment</w:t>
                            </w:r>
                            <w:r>
                              <w:rPr>
                                <w:i/>
                                <w:color w:val="FFFFFF"/>
                                <w:spacing w:val="-9"/>
                                <w:sz w:val="18"/>
                              </w:rPr>
                              <w:t xml:space="preserve"> </w:t>
                            </w:r>
                            <w:r>
                              <w:rPr>
                                <w:i/>
                                <w:color w:val="FFFFFF"/>
                                <w:sz w:val="18"/>
                              </w:rPr>
                              <w:t>in</w:t>
                            </w:r>
                            <w:r>
                              <w:rPr>
                                <w:i/>
                                <w:color w:val="FFFFFF"/>
                                <w:spacing w:val="-2"/>
                                <w:sz w:val="18"/>
                              </w:rPr>
                              <w:t xml:space="preserve"> </w:t>
                            </w:r>
                            <w:r>
                              <w:rPr>
                                <w:i/>
                                <w:color w:val="FFFFFF"/>
                                <w:sz w:val="18"/>
                              </w:rPr>
                              <w:t>Bank</w:t>
                            </w:r>
                            <w:r>
                              <w:rPr>
                                <w:i/>
                                <w:color w:val="FFFFFF"/>
                                <w:spacing w:val="2"/>
                                <w:sz w:val="18"/>
                              </w:rPr>
                              <w:t xml:space="preserve"> </w:t>
                            </w:r>
                            <w:r>
                              <w:rPr>
                                <w:i/>
                                <w:color w:val="FFFFFF"/>
                                <w:sz w:val="18"/>
                              </w:rPr>
                              <w:t>Credit</w:t>
                            </w:r>
                            <w:r>
                              <w:rPr>
                                <w:i/>
                                <w:color w:val="FFFFFF"/>
                                <w:spacing w:val="4"/>
                                <w:sz w:val="18"/>
                              </w:rPr>
                              <w:t xml:space="preserve"> </w:t>
                            </w:r>
                            <w:r>
                              <w:rPr>
                                <w:i/>
                                <w:color w:val="FFFFFF"/>
                                <w:spacing w:val="-2"/>
                                <w:sz w:val="18"/>
                              </w:rPr>
                              <w:t>Agreements:</w:t>
                            </w:r>
                            <w:r>
                              <w:rPr>
                                <w:i/>
                                <w:color w:val="FFFFFF"/>
                                <w:sz w:val="18"/>
                              </w:rPr>
                              <w:tab/>
                            </w:r>
                            <w:r>
                              <w:rPr>
                                <w:rFonts w:ascii="PMingLiU-ExtB"/>
                                <w:color w:val="FFFFFF"/>
                                <w:spacing w:val="-4"/>
                                <w:position w:val="1"/>
                                <w:sz w:val="18"/>
                              </w:rPr>
                              <w:t>4969</w:t>
                            </w:r>
                          </w:p>
                        </w:txbxContent>
                      </wps:txbx>
                      <wps:bodyPr wrap="square" lIns="0" tIns="0" rIns="0" bIns="0" rtlCol="0">
                        <a:noAutofit/>
                      </wps:bodyPr>
                    </wps:wsp>
                  </a:graphicData>
                </a:graphic>
              </wp:anchor>
            </w:drawing>
          </mc:Choice>
          <mc:Fallback>
            <w:pict>
              <v:shape id="Textbox 31" o:spid="_x0000_s1029" type="#_x0000_t202" style="position:absolute;left:0;text-align:left;margin-left:57.35pt;margin-top:30.8pt;width:461.35pt;height:27.35pt;z-index:1573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" fillcolor="#923735">
                <v:path arrowok="t"/>
                <v:textbox inset="0,0,0,0">
                  <w:txbxContent>
                    <w:p w:rsidR="00143FDB" w:rsidRDefault="006A44E3">
                      <w:pPr>
                        <w:tabs>
                          <w:tab w:val="left" w:pos="8266"/>
                        </w:tabs>
                        <w:spacing w:before="125"/>
                        <w:ind w:left="196"/>
                        <w:rPr>
                          <w:rFonts w:ascii="PMingLiU-ExtB"/>
                          <w:color w:val="000000"/>
                          <w:position w:val="1"/>
                          <w:sz w:val="18"/>
                        </w:rPr>
                      </w:pPr>
                      <w:r>
                        <w:rPr>
                          <w:b/>
                          <w:color w:val="FFFFFF"/>
                          <w:sz w:val="18"/>
                        </w:rPr>
                        <w:t>Burhan</w:t>
                      </w:r>
                      <w:r>
                        <w:rPr>
                          <w:b/>
                          <w:color w:val="FFFFFF"/>
                          <w:spacing w:val="-13"/>
                          <w:sz w:val="18"/>
                        </w:rPr>
                        <w:t xml:space="preserve"> </w:t>
                      </w:r>
                      <w:r>
                        <w:rPr>
                          <w:b/>
                          <w:color w:val="FFFFFF"/>
                          <w:sz w:val="18"/>
                        </w:rPr>
                        <w:t>Sidabariba</w:t>
                      </w:r>
                      <w:r>
                        <w:rPr>
                          <w:b/>
                          <w:color w:val="FFFFFF"/>
                          <w:spacing w:val="-6"/>
                          <w:sz w:val="18"/>
                        </w:rPr>
                        <w:t xml:space="preserve"> </w:t>
                      </w:r>
                      <w:r>
                        <w:rPr>
                          <w:i/>
                          <w:color w:val="FFFFFF"/>
                          <w:sz w:val="18"/>
                        </w:rPr>
                        <w:t>:</w:t>
                      </w:r>
                      <w:r>
                        <w:rPr>
                          <w:i/>
                          <w:color w:val="FFFFFF"/>
                          <w:spacing w:val="-1"/>
                          <w:sz w:val="18"/>
                        </w:rPr>
                        <w:t xml:space="preserve"> </w:t>
                      </w:r>
                      <w:r>
                        <w:rPr>
                          <w:i/>
                          <w:color w:val="FFFFFF"/>
                          <w:sz w:val="18"/>
                        </w:rPr>
                        <w:t>The</w:t>
                      </w:r>
                      <w:r>
                        <w:rPr>
                          <w:i/>
                          <w:color w:val="FFFFFF"/>
                          <w:spacing w:val="-12"/>
                          <w:sz w:val="18"/>
                        </w:rPr>
                        <w:t xml:space="preserve"> </w:t>
                      </w:r>
                      <w:r>
                        <w:rPr>
                          <w:i/>
                          <w:color w:val="FFFFFF"/>
                          <w:sz w:val="18"/>
                        </w:rPr>
                        <w:t>Legal</w:t>
                      </w:r>
                      <w:r>
                        <w:rPr>
                          <w:i/>
                          <w:color w:val="FFFFFF"/>
                          <w:spacing w:val="3"/>
                          <w:sz w:val="18"/>
                        </w:rPr>
                        <w:t xml:space="preserve"> </w:t>
                      </w:r>
                      <w:r>
                        <w:rPr>
                          <w:i/>
                          <w:color w:val="FFFFFF"/>
                          <w:sz w:val="18"/>
                        </w:rPr>
                        <w:t>Framework</w:t>
                      </w:r>
                      <w:r>
                        <w:rPr>
                          <w:i/>
                          <w:color w:val="FFFFFF"/>
                          <w:spacing w:val="-11"/>
                          <w:sz w:val="18"/>
                        </w:rPr>
                        <w:t xml:space="preserve"> </w:t>
                      </w:r>
                      <w:r>
                        <w:rPr>
                          <w:i/>
                          <w:color w:val="FFFFFF"/>
                          <w:sz w:val="18"/>
                        </w:rPr>
                        <w:t>and</w:t>
                      </w:r>
                      <w:r>
                        <w:rPr>
                          <w:i/>
                          <w:color w:val="FFFFFF"/>
                          <w:spacing w:val="-5"/>
                          <w:sz w:val="18"/>
                        </w:rPr>
                        <w:t xml:space="preserve"> </w:t>
                      </w:r>
                      <w:r>
                        <w:rPr>
                          <w:i/>
                          <w:color w:val="FFFFFF"/>
                          <w:sz w:val="18"/>
                        </w:rPr>
                        <w:t>Commitment</w:t>
                      </w:r>
                      <w:r>
                        <w:rPr>
                          <w:i/>
                          <w:color w:val="FFFFFF"/>
                          <w:spacing w:val="-9"/>
                          <w:sz w:val="18"/>
                        </w:rPr>
                        <w:t xml:space="preserve"> </w:t>
                      </w:r>
                      <w:r>
                        <w:rPr>
                          <w:i/>
                          <w:color w:val="FFFFFF"/>
                          <w:sz w:val="18"/>
                        </w:rPr>
                        <w:t>in</w:t>
                      </w:r>
                      <w:r>
                        <w:rPr>
                          <w:i/>
                          <w:color w:val="FFFFFF"/>
                          <w:spacing w:val="-2"/>
                          <w:sz w:val="18"/>
                        </w:rPr>
                        <w:t xml:space="preserve"> </w:t>
                      </w:r>
                      <w:r>
                        <w:rPr>
                          <w:i/>
                          <w:color w:val="FFFFFF"/>
                          <w:sz w:val="18"/>
                        </w:rPr>
                        <w:t>Bank</w:t>
                      </w:r>
                      <w:r>
                        <w:rPr>
                          <w:i/>
                          <w:color w:val="FFFFFF"/>
                          <w:spacing w:val="2"/>
                          <w:sz w:val="18"/>
                        </w:rPr>
                        <w:t xml:space="preserve"> </w:t>
                      </w:r>
                      <w:r>
                        <w:rPr>
                          <w:i/>
                          <w:color w:val="FFFFFF"/>
                          <w:sz w:val="18"/>
                        </w:rPr>
                        <w:t>Credit</w:t>
                      </w:r>
                      <w:r>
                        <w:rPr>
                          <w:i/>
                          <w:color w:val="FFFFFF"/>
                          <w:spacing w:val="4"/>
                          <w:sz w:val="18"/>
                        </w:rPr>
                        <w:t xml:space="preserve"> </w:t>
                      </w:r>
                      <w:r>
                        <w:rPr>
                          <w:i/>
                          <w:color w:val="FFFFFF"/>
                          <w:spacing w:val="-2"/>
                          <w:sz w:val="18"/>
                        </w:rPr>
                        <w:t>Agreements:</w:t>
                      </w:r>
                      <w:r>
                        <w:rPr>
                          <w:i/>
                          <w:color w:val="FFFFFF"/>
                          <w:sz w:val="18"/>
                        </w:rPr>
                        <w:tab/>
                      </w:r>
                      <w:r>
                        <w:rPr>
                          <w:rFonts w:ascii="PMingLiU-ExtB"/>
                          <w:color w:val="FFFFFF"/>
                          <w:spacing w:val="-4"/>
                          <w:position w:val="1"/>
                          <w:sz w:val="18"/>
                        </w:rPr>
                        <w:t>4969</w:t>
                      </w:r>
                    </w:p>
                  </w:txbxContent>
                </v:textbox>
                <w10:wrap anchorx="page"/>
              </v:shape>
            </w:pict>
          </mc:Fallback>
        </mc:AlternateContent>
      </w:r>
      <w:r>
        <w:t>Koval’,</w:t>
      </w:r>
      <w:r>
        <w:rPr>
          <w:spacing w:val="23"/>
        </w:rPr>
        <w:t xml:space="preserve"> </w:t>
      </w:r>
      <w:r>
        <w:t>V.</w:t>
      </w:r>
      <w:r>
        <w:rPr>
          <w:spacing w:val="25"/>
        </w:rPr>
        <w:t xml:space="preserve"> </w:t>
      </w:r>
      <w:r>
        <w:t>N.</w:t>
      </w:r>
      <w:r>
        <w:rPr>
          <w:spacing w:val="25"/>
        </w:rPr>
        <w:t xml:space="preserve"> </w:t>
      </w:r>
      <w:r>
        <w:t>(2024).</w:t>
      </w:r>
      <w:r>
        <w:rPr>
          <w:spacing w:val="23"/>
        </w:rPr>
        <w:t xml:space="preserve"> </w:t>
      </w:r>
      <w:r>
        <w:t>The</w:t>
      </w:r>
      <w:r>
        <w:rPr>
          <w:spacing w:val="23"/>
        </w:rPr>
        <w:t xml:space="preserve"> </w:t>
      </w:r>
      <w:r>
        <w:t>action</w:t>
      </w:r>
      <w:r>
        <w:rPr>
          <w:spacing w:val="23"/>
        </w:rPr>
        <w:t xml:space="preserve"> </w:t>
      </w:r>
      <w:r>
        <w:t>of</w:t>
      </w:r>
      <w:r>
        <w:rPr>
          <w:spacing w:val="23"/>
        </w:rPr>
        <w:t xml:space="preserve"> </w:t>
      </w:r>
      <w:r>
        <w:t>rights</w:t>
      </w:r>
      <w:r>
        <w:rPr>
          <w:spacing w:val="25"/>
        </w:rPr>
        <w:t xml:space="preserve"> </w:t>
      </w:r>
      <w:r>
        <w:t>in</w:t>
      </w:r>
      <w:r>
        <w:rPr>
          <w:spacing w:val="25"/>
        </w:rPr>
        <w:t xml:space="preserve"> </w:t>
      </w:r>
      <w:r>
        <w:t>rem</w:t>
      </w:r>
      <w:r>
        <w:rPr>
          <w:spacing w:val="22"/>
        </w:rPr>
        <w:t xml:space="preserve"> </w:t>
      </w:r>
      <w:r>
        <w:t>on</w:t>
      </w:r>
      <w:r>
        <w:rPr>
          <w:spacing w:val="25"/>
        </w:rPr>
        <w:t xml:space="preserve"> </w:t>
      </w:r>
      <w:r>
        <w:t>the</w:t>
      </w:r>
      <w:r>
        <w:rPr>
          <w:spacing w:val="23"/>
        </w:rPr>
        <w:t xml:space="preserve"> </w:t>
      </w:r>
      <w:r>
        <w:t>relations</w:t>
      </w:r>
      <w:r>
        <w:rPr>
          <w:spacing w:val="25"/>
        </w:rPr>
        <w:t xml:space="preserve"> </w:t>
      </w:r>
      <w:r>
        <w:t>of</w:t>
      </w:r>
      <w:r>
        <w:rPr>
          <w:spacing w:val="26"/>
        </w:rPr>
        <w:t xml:space="preserve"> </w:t>
      </w:r>
      <w:r>
        <w:t>merchant</w:t>
      </w:r>
      <w:r>
        <w:rPr>
          <w:spacing w:val="23"/>
        </w:rPr>
        <w:t xml:space="preserve"> </w:t>
      </w:r>
      <w:r>
        <w:t>shipping.</w:t>
      </w:r>
      <w:r>
        <w:rPr>
          <w:spacing w:val="40"/>
        </w:rPr>
        <w:t xml:space="preserve"> </w:t>
      </w:r>
      <w:r>
        <w:rPr>
          <w:i/>
        </w:rPr>
        <w:t>Vestnik</w:t>
      </w:r>
      <w:r>
        <w:rPr>
          <w:i/>
          <w:spacing w:val="23"/>
        </w:rPr>
        <w:t xml:space="preserve"> </w:t>
      </w:r>
      <w:r>
        <w:rPr>
          <w:i/>
        </w:rPr>
        <w:t xml:space="preserve">Sankt- </w:t>
      </w:r>
      <w:r>
        <w:rPr>
          <w:i/>
          <w:spacing w:val="-2"/>
        </w:rPr>
        <w:t>Peterburgskogo</w:t>
      </w:r>
      <w:r>
        <w:rPr>
          <w:i/>
        </w:rPr>
        <w:tab/>
      </w:r>
      <w:r>
        <w:rPr>
          <w:i/>
          <w:spacing w:val="-2"/>
        </w:rPr>
        <w:t>Universiteta.</w:t>
      </w:r>
      <w:r>
        <w:rPr>
          <w:i/>
        </w:rPr>
        <w:tab/>
      </w:r>
      <w:r>
        <w:rPr>
          <w:i/>
          <w:spacing w:val="-2"/>
        </w:rPr>
        <w:t>Pravo</w:t>
      </w:r>
      <w:r>
        <w:rPr>
          <w:spacing w:val="-2"/>
        </w:rPr>
        <w:t>,</w:t>
      </w:r>
      <w:r>
        <w:tab/>
      </w:r>
      <w:r>
        <w:rPr>
          <w:i/>
          <w:spacing w:val="-2"/>
        </w:rPr>
        <w:t>15</w:t>
      </w:r>
      <w:r>
        <w:rPr>
          <w:spacing w:val="-2"/>
        </w:rPr>
        <w:t>(1),</w:t>
      </w:r>
      <w:r>
        <w:tab/>
      </w:r>
      <w:r>
        <w:rPr>
          <w:spacing w:val="-2"/>
        </w:rPr>
        <w:t>119–135.</w:t>
      </w:r>
      <w:r>
        <w:tab/>
      </w:r>
      <w:r>
        <w:rPr>
          <w:spacing w:val="-2"/>
        </w:rPr>
        <w:t>Scopus.</w:t>
      </w:r>
    </w:p>
    <w:p w:rsidR="00143FDB" w:rsidRDefault="00143FDB">
      <w:pPr>
        <w:spacing w:line="285" w:lineRule="auto"/>
        <w:sectPr w:rsidR="00143FDB">
          <w:headerReference w:type="default" r:id="rId13"/>
          <w:footerReference w:type="default" r:id="rId14"/>
          <w:pgSz w:w="11920" w:h="16860"/>
          <w:pgMar w:top="1460" w:right="1133" w:bottom="280" w:left="1133" w:header="282" w:footer="0" w:gutter="0"/>
          <w:cols w:space="720"/>
        </w:sectPr>
      </w:pPr>
    </w:p>
    <w:p w:rsidR="00143FDB" w:rsidRDefault="006A44E3">
      <w:pPr>
        <w:pStyle w:val="BodyText"/>
        <w:spacing w:before="81"/>
        <w:ind w:left="833"/>
        <w:jc w:val="left"/>
      </w:pPr>
      <w:r>
        <w:rPr>
          <w:spacing w:val="-2"/>
        </w:rPr>
        <w:lastRenderedPageBreak/>
        <w:t>https://doi.org/10.21638/spbu14.2024.108</w:t>
      </w:r>
    </w:p>
    <w:p w:rsidR="00143FDB" w:rsidRDefault="006A44E3">
      <w:pPr>
        <w:pStyle w:val="BodyText"/>
        <w:spacing w:before="30" w:line="278" w:lineRule="auto"/>
        <w:ind w:left="833" w:right="50" w:hanging="720"/>
      </w:pPr>
      <w:r>
        <w:t>Kurniawan, F., Nugraha, X., Putra, G. A., Taniady, V., &amp; Jansen, B. (2022). The Principle</w:t>
      </w:r>
      <w:r>
        <w:rPr>
          <w:spacing w:val="40"/>
        </w:rPr>
        <w:t xml:space="preserve"> </w:t>
      </w:r>
      <w:r>
        <w:t>of Balance Formulation as the Basis for Cancellation of Agr</w:t>
      </w:r>
      <w:r>
        <w:t xml:space="preserve">eement in Indonesia. </w:t>
      </w:r>
      <w:r>
        <w:rPr>
          <w:i/>
        </w:rPr>
        <w:t>Lex Scientia Law Review</w:t>
      </w:r>
      <w:r>
        <w:t xml:space="preserve">, </w:t>
      </w:r>
      <w:r>
        <w:rPr>
          <w:i/>
        </w:rPr>
        <w:t>6</w:t>
      </w:r>
      <w:r>
        <w:t>(1), 121–156. Scopus. https://doi.org/10.15294/lesrev.v6i1.55468</w:t>
      </w:r>
    </w:p>
    <w:p w:rsidR="00143FDB" w:rsidRDefault="006A44E3">
      <w:pPr>
        <w:spacing w:before="1" w:line="276" w:lineRule="auto"/>
        <w:ind w:left="833" w:right="65" w:hanging="720"/>
        <w:jc w:val="both"/>
      </w:pPr>
      <w:r>
        <w:t>Laverde, S. D.</w:t>
      </w:r>
      <w:r>
        <w:rPr>
          <w:spacing w:val="-1"/>
        </w:rPr>
        <w:t xml:space="preserve"> </w:t>
      </w:r>
      <w:r>
        <w:t xml:space="preserve">(2021). A Commentary on the Meaning of Objective Good Faith in the Translex Principles through International Arbitration: A Law &amp; Economics Approach. </w:t>
      </w:r>
      <w:r>
        <w:rPr>
          <w:i/>
        </w:rPr>
        <w:t xml:space="preserve">Revista de Estudos Constitucionais, Hermeneutica e Teoria Do Direito </w:t>
      </w:r>
      <w:r>
        <w:t xml:space="preserve">, </w:t>
      </w:r>
      <w:r>
        <w:rPr>
          <w:i/>
        </w:rPr>
        <w:t>13</w:t>
      </w:r>
      <w:r>
        <w:t xml:space="preserve">(2), 164–179. Scopus. </w:t>
      </w:r>
      <w:r>
        <w:rPr>
          <w:spacing w:val="-2"/>
        </w:rPr>
        <w:t>https://doi</w:t>
      </w:r>
      <w:r>
        <w:rPr>
          <w:spacing w:val="-2"/>
        </w:rPr>
        <w:t>.org/10.4013/rechtd.2021.132.03</w:t>
      </w:r>
    </w:p>
    <w:p w:rsidR="00143FDB" w:rsidRDefault="006A44E3">
      <w:pPr>
        <w:pStyle w:val="BodyText"/>
        <w:spacing w:line="278" w:lineRule="auto"/>
        <w:ind w:left="833" w:right="74" w:hanging="720"/>
      </w:pPr>
      <w:r>
        <w:t>Law</w:t>
      </w:r>
      <w:r>
        <w:rPr>
          <w:spacing w:val="-3"/>
        </w:rPr>
        <w:t xml:space="preserve"> </w:t>
      </w:r>
      <w:r>
        <w:t>of the Republic of Indonesia Number 42 of 1999 on Fiduciary, Pub. L. No. LN. 1999/ No. 168,</w:t>
      </w:r>
      <w:r>
        <w:rPr>
          <w:spacing w:val="-3"/>
        </w:rPr>
        <w:t xml:space="preserve"> </w:t>
      </w:r>
      <w:r>
        <w:t xml:space="preserve">TLN NO. 3889, LL SETNEG : 13 HLM (1999). https://peraturan.bpk.go.id/Details/45374/uu-no-42- </w:t>
      </w:r>
      <w:r>
        <w:rPr>
          <w:spacing w:val="-2"/>
        </w:rPr>
        <w:t>tahun-1999</w:t>
      </w:r>
    </w:p>
    <w:p w:rsidR="00143FDB" w:rsidRDefault="006A44E3">
      <w:pPr>
        <w:pStyle w:val="BodyText"/>
        <w:spacing w:line="271" w:lineRule="auto"/>
        <w:ind w:left="833" w:right="59" w:hanging="720"/>
      </w:pPr>
      <w:r>
        <w:t>Leite,</w:t>
      </w:r>
      <w:r>
        <w:rPr>
          <w:spacing w:val="-9"/>
        </w:rPr>
        <w:t xml:space="preserve"> </w:t>
      </w:r>
      <w:r>
        <w:t>R.,</w:t>
      </w:r>
      <w:r>
        <w:rPr>
          <w:spacing w:val="-10"/>
        </w:rPr>
        <w:t xml:space="preserve"> </w:t>
      </w:r>
      <w:r>
        <w:t>Mendes,</w:t>
      </w:r>
      <w:r>
        <w:rPr>
          <w:spacing w:val="-9"/>
        </w:rPr>
        <w:t xml:space="preserve"> </w:t>
      </w:r>
      <w:r>
        <w:t>L.,</w:t>
      </w:r>
      <w:r>
        <w:rPr>
          <w:spacing w:val="-9"/>
        </w:rPr>
        <w:t xml:space="preserve"> </w:t>
      </w:r>
      <w:r>
        <w:t>&amp;</w:t>
      </w:r>
      <w:r>
        <w:rPr>
          <w:spacing w:val="-10"/>
        </w:rPr>
        <w:t xml:space="preserve"> </w:t>
      </w:r>
      <w:r>
        <w:t>Camelo,</w:t>
      </w:r>
      <w:r>
        <w:rPr>
          <w:spacing w:val="-9"/>
        </w:rPr>
        <w:t xml:space="preserve"> </w:t>
      </w:r>
      <w:r>
        <w:t>E.</w:t>
      </w:r>
      <w:r>
        <w:rPr>
          <w:spacing w:val="-9"/>
        </w:rPr>
        <w:t xml:space="preserve"> </w:t>
      </w:r>
      <w:r>
        <w:t>(2024).</w:t>
      </w:r>
      <w:r>
        <w:rPr>
          <w:spacing w:val="-3"/>
        </w:rPr>
        <w:t xml:space="preserve"> </w:t>
      </w:r>
      <w:r>
        <w:t>Innovating</w:t>
      </w:r>
      <w:r>
        <w:rPr>
          <w:spacing w:val="13"/>
        </w:rPr>
        <w:t xml:space="preserve"> </w:t>
      </w:r>
      <w:r>
        <w:t>microcredit:</w:t>
      </w:r>
      <w:r>
        <w:rPr>
          <w:spacing w:val="-2"/>
        </w:rPr>
        <w:t xml:space="preserve"> </w:t>
      </w:r>
      <w:r>
        <w:t>How</w:t>
      </w:r>
      <w:r>
        <w:rPr>
          <w:spacing w:val="-12"/>
        </w:rPr>
        <w:t xml:space="preserve"> </w:t>
      </w:r>
      <w:r>
        <w:t>fintechs</w:t>
      </w:r>
      <w:r>
        <w:rPr>
          <w:spacing w:val="-10"/>
        </w:rPr>
        <w:t xml:space="preserve"> </w:t>
      </w:r>
      <w:r>
        <w:t>change</w:t>
      </w:r>
      <w:r>
        <w:rPr>
          <w:spacing w:val="-9"/>
        </w:rPr>
        <w:t xml:space="preserve"> </w:t>
      </w:r>
      <w:r>
        <w:t>the</w:t>
      </w:r>
      <w:r>
        <w:rPr>
          <w:spacing w:val="-5"/>
        </w:rPr>
        <w:t xml:space="preserve"> </w:t>
      </w:r>
      <w:r>
        <w:t>field.</w:t>
      </w:r>
      <w:r>
        <w:rPr>
          <w:spacing w:val="18"/>
        </w:rPr>
        <w:t xml:space="preserve"> </w:t>
      </w:r>
      <w:r>
        <w:rPr>
          <w:i/>
        </w:rPr>
        <w:t>Journal of Economics and Business</w:t>
      </w:r>
      <w:r>
        <w:t xml:space="preserve">, </w:t>
      </w:r>
      <w:r>
        <w:rPr>
          <w:i/>
        </w:rPr>
        <w:t>128</w:t>
      </w:r>
      <w:r>
        <w:t>. Scopus. https://doi.org/10.1016/j.jeconbus.2023.106158</w:t>
      </w:r>
    </w:p>
    <w:p w:rsidR="00143FDB" w:rsidRDefault="006A44E3">
      <w:pPr>
        <w:pStyle w:val="BodyText"/>
        <w:spacing w:before="1" w:line="278" w:lineRule="auto"/>
        <w:ind w:left="833" w:right="65" w:hanging="720"/>
      </w:pPr>
      <w:r>
        <w:t>Limante,</w:t>
      </w:r>
      <w:r>
        <w:rPr>
          <w:spacing w:val="-14"/>
        </w:rPr>
        <w:t xml:space="preserve"> </w:t>
      </w:r>
      <w:r>
        <w:t>A.</w:t>
      </w:r>
      <w:r>
        <w:rPr>
          <w:spacing w:val="-14"/>
        </w:rPr>
        <w:t xml:space="preserve"> </w:t>
      </w:r>
      <w:r>
        <w:t>(2024).</w:t>
      </w:r>
      <w:r>
        <w:rPr>
          <w:spacing w:val="-14"/>
        </w:rPr>
        <w:t xml:space="preserve"> </w:t>
      </w:r>
      <w:r>
        <w:t>Protecting</w:t>
      </w:r>
      <w:r>
        <w:rPr>
          <w:spacing w:val="-13"/>
        </w:rPr>
        <w:t xml:space="preserve"> </w:t>
      </w:r>
      <w:r>
        <w:t>vulnerable</w:t>
      </w:r>
      <w:r>
        <w:rPr>
          <w:spacing w:val="-14"/>
        </w:rPr>
        <w:t xml:space="preserve"> </w:t>
      </w:r>
      <w:r>
        <w:t>groups</w:t>
      </w:r>
      <w:r>
        <w:rPr>
          <w:spacing w:val="-14"/>
        </w:rPr>
        <w:t xml:space="preserve"> </w:t>
      </w:r>
      <w:r>
        <w:t>in</w:t>
      </w:r>
      <w:r>
        <w:rPr>
          <w:spacing w:val="-14"/>
        </w:rPr>
        <w:t xml:space="preserve"> </w:t>
      </w:r>
      <w:r>
        <w:t>Europe:</w:t>
      </w:r>
      <w:r>
        <w:rPr>
          <w:spacing w:val="-13"/>
        </w:rPr>
        <w:t xml:space="preserve"> </w:t>
      </w:r>
      <w:r>
        <w:t>Highlights</w:t>
      </w:r>
      <w:r>
        <w:rPr>
          <w:spacing w:val="-14"/>
        </w:rPr>
        <w:t xml:space="preserve"> </w:t>
      </w:r>
      <w:r>
        <w:t>from</w:t>
      </w:r>
      <w:r>
        <w:rPr>
          <w:spacing w:val="-14"/>
        </w:rPr>
        <w:t xml:space="preserve"> </w:t>
      </w:r>
      <w:r>
        <w:t>recent</w:t>
      </w:r>
      <w:r>
        <w:rPr>
          <w:spacing w:val="-14"/>
        </w:rPr>
        <w:t xml:space="preserve"> </w:t>
      </w:r>
      <w:r>
        <w:t>cas</w:t>
      </w:r>
      <w:r>
        <w:t>e</w:t>
      </w:r>
      <w:r>
        <w:rPr>
          <w:spacing w:val="-13"/>
        </w:rPr>
        <w:t xml:space="preserve"> </w:t>
      </w:r>
      <w:r>
        <w:t>law</w:t>
      </w:r>
      <w:r>
        <w:rPr>
          <w:spacing w:val="-14"/>
        </w:rPr>
        <w:t xml:space="preserve"> </w:t>
      </w:r>
      <w:r>
        <w:t>of</w:t>
      </w:r>
      <w:r>
        <w:rPr>
          <w:spacing w:val="-14"/>
        </w:rPr>
        <w:t xml:space="preserve"> </w:t>
      </w:r>
      <w:r>
        <w:t>the</w:t>
      </w:r>
      <w:r>
        <w:rPr>
          <w:spacing w:val="-14"/>
        </w:rPr>
        <w:t xml:space="preserve"> </w:t>
      </w:r>
      <w:r>
        <w:t xml:space="preserve">European Court of Human Rights. </w:t>
      </w:r>
      <w:r>
        <w:rPr>
          <w:i/>
        </w:rPr>
        <w:t>International Journal of Human Rights</w:t>
      </w:r>
      <w:r>
        <w:t xml:space="preserve">, </w:t>
      </w:r>
      <w:r>
        <w:rPr>
          <w:i/>
        </w:rPr>
        <w:t>28</w:t>
      </w:r>
      <w:r>
        <w:t xml:space="preserve">(4), 671–688. Scopus. </w:t>
      </w:r>
      <w:r>
        <w:rPr>
          <w:spacing w:val="-2"/>
        </w:rPr>
        <w:t>https://doi.org/10.1080/13642987.2023.2297311</w:t>
      </w:r>
    </w:p>
    <w:p w:rsidR="00143FDB" w:rsidRDefault="006A44E3">
      <w:pPr>
        <w:pStyle w:val="BodyText"/>
        <w:spacing w:line="249" w:lineRule="exact"/>
      </w:pPr>
      <w:r>
        <w:t>LONg,</w:t>
      </w:r>
      <w:r>
        <w:rPr>
          <w:spacing w:val="24"/>
        </w:rPr>
        <w:t xml:space="preserve"> </w:t>
      </w:r>
      <w:r>
        <w:t>S.</w:t>
      </w:r>
      <w:r>
        <w:rPr>
          <w:spacing w:val="39"/>
        </w:rPr>
        <w:t xml:space="preserve"> </w:t>
      </w:r>
      <w:r>
        <w:t>G.</w:t>
      </w:r>
      <w:r>
        <w:rPr>
          <w:spacing w:val="40"/>
        </w:rPr>
        <w:t xml:space="preserve"> </w:t>
      </w:r>
      <w:r>
        <w:t>(2024).</w:t>
      </w:r>
      <w:r>
        <w:rPr>
          <w:spacing w:val="37"/>
        </w:rPr>
        <w:t xml:space="preserve"> </w:t>
      </w:r>
      <w:r>
        <w:t>Towards</w:t>
      </w:r>
      <w:r>
        <w:rPr>
          <w:spacing w:val="24"/>
        </w:rPr>
        <w:t xml:space="preserve"> </w:t>
      </w:r>
      <w:r>
        <w:t>a</w:t>
      </w:r>
      <w:r>
        <w:rPr>
          <w:spacing w:val="40"/>
        </w:rPr>
        <w:t xml:space="preserve"> </w:t>
      </w:r>
      <w:r>
        <w:t>Formalistic</w:t>
      </w:r>
      <w:r>
        <w:rPr>
          <w:spacing w:val="68"/>
        </w:rPr>
        <w:t xml:space="preserve"> </w:t>
      </w:r>
      <w:r>
        <w:t>Approach</w:t>
      </w:r>
      <w:r>
        <w:rPr>
          <w:spacing w:val="31"/>
        </w:rPr>
        <w:t xml:space="preserve"> </w:t>
      </w:r>
      <w:r>
        <w:t>of</w:t>
      </w:r>
      <w:r>
        <w:rPr>
          <w:spacing w:val="36"/>
        </w:rPr>
        <w:t xml:space="preserve"> </w:t>
      </w:r>
      <w:r>
        <w:t>Good</w:t>
      </w:r>
      <w:r>
        <w:rPr>
          <w:spacing w:val="41"/>
        </w:rPr>
        <w:t xml:space="preserve"> </w:t>
      </w:r>
      <w:r>
        <w:t>Faith</w:t>
      </w:r>
      <w:r>
        <w:rPr>
          <w:spacing w:val="42"/>
        </w:rPr>
        <w:t xml:space="preserve"> </w:t>
      </w:r>
      <w:r>
        <w:t>in</w:t>
      </w:r>
      <w:r>
        <w:rPr>
          <w:spacing w:val="56"/>
        </w:rPr>
        <w:t xml:space="preserve"> </w:t>
      </w:r>
      <w:r>
        <w:t>Comparative</w:t>
      </w:r>
      <w:r>
        <w:rPr>
          <w:spacing w:val="41"/>
        </w:rPr>
        <w:t xml:space="preserve"> </w:t>
      </w:r>
      <w:r>
        <w:t>Contract</w:t>
      </w:r>
      <w:r>
        <w:rPr>
          <w:spacing w:val="35"/>
        </w:rPr>
        <w:t xml:space="preserve"> </w:t>
      </w:r>
      <w:r>
        <w:rPr>
          <w:spacing w:val="-4"/>
        </w:rPr>
        <w:t>Law.</w:t>
      </w:r>
    </w:p>
    <w:p w:rsidR="00143FDB" w:rsidRDefault="006A44E3">
      <w:pPr>
        <w:spacing w:before="27" w:line="285" w:lineRule="auto"/>
        <w:ind w:left="113" w:right="55" w:firstLine="720"/>
        <w:jc w:val="both"/>
        <w:rPr>
          <w:i/>
        </w:rPr>
      </w:pPr>
      <w:r>
        <w:rPr>
          <w:i/>
        </w:rPr>
        <w:t>European Business Law Review</w:t>
      </w:r>
      <w:r>
        <w:t xml:space="preserve">, </w:t>
      </w:r>
      <w:r>
        <w:rPr>
          <w:i/>
        </w:rPr>
        <w:t>35</w:t>
      </w:r>
      <w:r>
        <w:t>(7), 947–976. Scopus. https://doi.org/10.54648/EULR2024049 Lyanthi,</w:t>
      </w:r>
      <w:r>
        <w:rPr>
          <w:spacing w:val="80"/>
        </w:rPr>
        <w:t xml:space="preserve"> </w:t>
      </w:r>
      <w:r>
        <w:t>M.</w:t>
      </w:r>
      <w:r>
        <w:rPr>
          <w:spacing w:val="40"/>
        </w:rPr>
        <w:t xml:space="preserve"> </w:t>
      </w:r>
      <w:r>
        <w:t>E.</w:t>
      </w:r>
      <w:r>
        <w:rPr>
          <w:spacing w:val="29"/>
        </w:rPr>
        <w:t xml:space="preserve"> </w:t>
      </w:r>
      <w:r>
        <w:t>(2023).</w:t>
      </w:r>
      <w:r>
        <w:rPr>
          <w:spacing w:val="40"/>
        </w:rPr>
        <w:t xml:space="preserve"> </w:t>
      </w:r>
      <w:r>
        <w:t>Akibat</w:t>
      </w:r>
      <w:r>
        <w:rPr>
          <w:spacing w:val="77"/>
        </w:rPr>
        <w:t xml:space="preserve"> </w:t>
      </w:r>
      <w:r>
        <w:t>Hukum</w:t>
      </w:r>
      <w:r>
        <w:rPr>
          <w:spacing w:val="40"/>
        </w:rPr>
        <w:t xml:space="preserve"> </w:t>
      </w:r>
      <w:r>
        <w:t>dalam</w:t>
      </w:r>
      <w:r>
        <w:rPr>
          <w:spacing w:val="40"/>
        </w:rPr>
        <w:t xml:space="preserve"> </w:t>
      </w:r>
      <w:r>
        <w:t>Proses</w:t>
      </w:r>
      <w:r>
        <w:rPr>
          <w:spacing w:val="29"/>
        </w:rPr>
        <w:t xml:space="preserve"> </w:t>
      </w:r>
      <w:r>
        <w:t>Penyelesaian</w:t>
      </w:r>
      <w:r>
        <w:rPr>
          <w:spacing w:val="20"/>
        </w:rPr>
        <w:t xml:space="preserve"> </w:t>
      </w:r>
      <w:r>
        <w:t>Roya.</w:t>
      </w:r>
      <w:r>
        <w:rPr>
          <w:spacing w:val="40"/>
        </w:rPr>
        <w:t xml:space="preserve"> </w:t>
      </w:r>
      <w:r>
        <w:rPr>
          <w:i/>
        </w:rPr>
        <w:t>Jurnal Hukum</w:t>
      </w:r>
      <w:r>
        <w:rPr>
          <w:i/>
          <w:spacing w:val="-5"/>
        </w:rPr>
        <w:t xml:space="preserve"> </w:t>
      </w:r>
      <w:r>
        <w:rPr>
          <w:i/>
        </w:rPr>
        <w:t>Bisnis</w:t>
      </w:r>
      <w:r>
        <w:rPr>
          <w:i/>
          <w:spacing w:val="29"/>
        </w:rPr>
        <w:t xml:space="preserve"> </w:t>
      </w:r>
      <w:r>
        <w:rPr>
          <w:i/>
        </w:rPr>
        <w:t>Bonum</w:t>
      </w:r>
    </w:p>
    <w:p w:rsidR="00143FDB" w:rsidRDefault="006A44E3">
      <w:pPr>
        <w:pStyle w:val="BodyText"/>
        <w:spacing w:line="241" w:lineRule="exact"/>
        <w:ind w:left="833"/>
      </w:pPr>
      <w:r>
        <w:rPr>
          <w:i/>
        </w:rPr>
        <w:t>Commune</w:t>
      </w:r>
      <w:r>
        <w:t>,</w:t>
      </w:r>
      <w:r>
        <w:rPr>
          <w:spacing w:val="-24"/>
        </w:rPr>
        <w:t xml:space="preserve"> </w:t>
      </w:r>
      <w:r>
        <w:rPr>
          <w:i/>
        </w:rPr>
        <w:t>6</w:t>
      </w:r>
      <w:r>
        <w:t>(2),</w:t>
      </w:r>
      <w:r>
        <w:rPr>
          <w:spacing w:val="-10"/>
        </w:rPr>
        <w:t xml:space="preserve"> </w:t>
      </w:r>
      <w:r>
        <w:t>84–93.</w:t>
      </w:r>
      <w:r>
        <w:rPr>
          <w:spacing w:val="5"/>
        </w:rPr>
        <w:t xml:space="preserve"> </w:t>
      </w:r>
      <w:r>
        <w:t>Scopus.</w:t>
      </w:r>
      <w:r>
        <w:rPr>
          <w:spacing w:val="-8"/>
        </w:rPr>
        <w:t xml:space="preserve"> </w:t>
      </w:r>
      <w:r>
        <w:rPr>
          <w:spacing w:val="-2"/>
        </w:rPr>
        <w:t>https://doi.org/10.30996/jhbbc.v6i2.9105</w:t>
      </w:r>
    </w:p>
    <w:p w:rsidR="00143FDB" w:rsidRDefault="006A44E3">
      <w:pPr>
        <w:pStyle w:val="BodyText"/>
        <w:spacing w:before="40" w:line="271" w:lineRule="auto"/>
        <w:ind w:left="833" w:right="69" w:hanging="720"/>
      </w:pPr>
      <w:r>
        <w:t>Marbun, B., &amp; Santoso, B. (2024a). Mortgage Rights as a Guarantee of Legal Protection for Creditors in Financing</w:t>
      </w:r>
      <w:r>
        <w:rPr>
          <w:spacing w:val="-6"/>
        </w:rPr>
        <w:t xml:space="preserve"> </w:t>
      </w:r>
      <w:r>
        <w:t>According</w:t>
      </w:r>
      <w:r>
        <w:rPr>
          <w:spacing w:val="-7"/>
        </w:rPr>
        <w:t xml:space="preserve"> </w:t>
      </w:r>
      <w:r>
        <w:t>to</w:t>
      </w:r>
      <w:r>
        <w:rPr>
          <w:spacing w:val="-6"/>
        </w:rPr>
        <w:t xml:space="preserve"> </w:t>
      </w:r>
      <w:r>
        <w:t>Thomas</w:t>
      </w:r>
      <w:r>
        <w:rPr>
          <w:spacing w:val="-2"/>
        </w:rPr>
        <w:t xml:space="preserve"> </w:t>
      </w:r>
      <w:r>
        <w:t>Hobbes’s</w:t>
      </w:r>
      <w:r>
        <w:rPr>
          <w:spacing w:val="-9"/>
        </w:rPr>
        <w:t xml:space="preserve"> </w:t>
      </w:r>
      <w:r>
        <w:t>Theory</w:t>
      </w:r>
      <w:r>
        <w:rPr>
          <w:spacing w:val="-11"/>
        </w:rPr>
        <w:t xml:space="preserve"> </w:t>
      </w:r>
      <w:r>
        <w:t>of</w:t>
      </w:r>
      <w:r>
        <w:rPr>
          <w:spacing w:val="-3"/>
        </w:rPr>
        <w:t xml:space="preserve"> </w:t>
      </w:r>
      <w:r>
        <w:t>Justice.</w:t>
      </w:r>
      <w:r>
        <w:rPr>
          <w:spacing w:val="-4"/>
        </w:rPr>
        <w:t xml:space="preserve"> </w:t>
      </w:r>
      <w:r>
        <w:rPr>
          <w:i/>
        </w:rPr>
        <w:t>Journal</w:t>
      </w:r>
      <w:r>
        <w:rPr>
          <w:i/>
          <w:spacing w:val="-7"/>
        </w:rPr>
        <w:t xml:space="preserve"> </w:t>
      </w:r>
      <w:r>
        <w:rPr>
          <w:i/>
        </w:rPr>
        <w:t>of</w:t>
      </w:r>
      <w:r>
        <w:rPr>
          <w:i/>
          <w:spacing w:val="-1"/>
        </w:rPr>
        <w:t xml:space="preserve"> </w:t>
      </w:r>
      <w:r>
        <w:rPr>
          <w:i/>
        </w:rPr>
        <w:t>Ecohumanism</w:t>
      </w:r>
      <w:r>
        <w:t>,</w:t>
      </w:r>
      <w:r>
        <w:rPr>
          <w:spacing w:val="-8"/>
        </w:rPr>
        <w:t xml:space="preserve"> </w:t>
      </w:r>
      <w:r>
        <w:rPr>
          <w:i/>
        </w:rPr>
        <w:t>3</w:t>
      </w:r>
      <w:r>
        <w:t>(7),</w:t>
      </w:r>
      <w:r>
        <w:rPr>
          <w:spacing w:val="-8"/>
        </w:rPr>
        <w:t xml:space="preserve"> </w:t>
      </w:r>
      <w:r>
        <w:t>2177– 2185.</w:t>
      </w:r>
      <w:r>
        <w:rPr>
          <w:spacing w:val="40"/>
        </w:rPr>
        <w:t xml:space="preserve"> </w:t>
      </w:r>
      <w:r>
        <w:t>Scopus. https://doi.org/10.62754/joe.v3i7.4369</w:t>
      </w:r>
    </w:p>
    <w:p w:rsidR="00143FDB" w:rsidRDefault="006A44E3">
      <w:pPr>
        <w:pStyle w:val="BodyText"/>
        <w:spacing w:before="12" w:line="278" w:lineRule="auto"/>
        <w:ind w:left="833" w:right="50" w:hanging="720"/>
      </w:pPr>
      <w:r>
        <w:t>Marbun</w:t>
      </w:r>
      <w:r>
        <w:t>, B., &amp; Santoso, B. (2024b). The Interplay of Banking Development and Legal Reforms: A Comparative Study of Mortage</w:t>
      </w:r>
      <w:r>
        <w:rPr>
          <w:spacing w:val="-3"/>
        </w:rPr>
        <w:t xml:space="preserve"> </w:t>
      </w:r>
      <w:r>
        <w:t>Rights Enforcement in</w:t>
      </w:r>
      <w:r>
        <w:rPr>
          <w:spacing w:val="-1"/>
        </w:rPr>
        <w:t xml:space="preserve"> </w:t>
      </w:r>
      <w:r>
        <w:t>Indonesia and</w:t>
      </w:r>
      <w:r>
        <w:rPr>
          <w:spacing w:val="-1"/>
        </w:rPr>
        <w:t xml:space="preserve"> </w:t>
      </w:r>
      <w:r>
        <w:t xml:space="preserve">India. </w:t>
      </w:r>
      <w:r>
        <w:rPr>
          <w:i/>
        </w:rPr>
        <w:t>Lentera</w:t>
      </w:r>
      <w:r>
        <w:rPr>
          <w:i/>
          <w:spacing w:val="-3"/>
        </w:rPr>
        <w:t xml:space="preserve"> </w:t>
      </w:r>
      <w:r>
        <w:rPr>
          <w:i/>
        </w:rPr>
        <w:t>Hukum</w:t>
      </w:r>
      <w:r>
        <w:t>,</w:t>
      </w:r>
      <w:r>
        <w:rPr>
          <w:spacing w:val="-5"/>
        </w:rPr>
        <w:t xml:space="preserve"> </w:t>
      </w:r>
      <w:r>
        <w:rPr>
          <w:i/>
        </w:rPr>
        <w:t>11</w:t>
      </w:r>
      <w:r>
        <w:t>(2), 231–256.</w:t>
      </w:r>
      <w:r>
        <w:rPr>
          <w:spacing w:val="40"/>
        </w:rPr>
        <w:t xml:space="preserve"> </w:t>
      </w:r>
      <w:r>
        <w:t>Scopus. https://doi.org/10.19184/ejlh.v11i2.47722</w:t>
      </w:r>
    </w:p>
    <w:p w:rsidR="00143FDB" w:rsidRDefault="006A44E3">
      <w:pPr>
        <w:spacing w:line="278" w:lineRule="auto"/>
        <w:ind w:left="833" w:right="80" w:hanging="720"/>
        <w:jc w:val="both"/>
      </w:pPr>
      <w:r>
        <w:t>Mashdurohatun,</w:t>
      </w:r>
      <w:r>
        <w:rPr>
          <w:spacing w:val="-1"/>
        </w:rPr>
        <w:t xml:space="preserve"> </w:t>
      </w:r>
      <w:r>
        <w:t>A</w:t>
      </w:r>
      <w:r>
        <w:t>.,</w:t>
      </w:r>
      <w:r>
        <w:rPr>
          <w:spacing w:val="-5"/>
        </w:rPr>
        <w:t xml:space="preserve"> </w:t>
      </w:r>
      <w:r>
        <w:t>&amp; Arifin, Z.</w:t>
      </w:r>
      <w:r>
        <w:rPr>
          <w:spacing w:val="-3"/>
        </w:rPr>
        <w:t xml:space="preserve"> </w:t>
      </w:r>
      <w:r>
        <w:t>(2017). The inconsistency of parate</w:t>
      </w:r>
      <w:r>
        <w:rPr>
          <w:spacing w:val="-4"/>
        </w:rPr>
        <w:t xml:space="preserve"> </w:t>
      </w:r>
      <w:r>
        <w:t>execution object warranty</w:t>
      </w:r>
      <w:r>
        <w:rPr>
          <w:spacing w:val="-4"/>
        </w:rPr>
        <w:t xml:space="preserve"> </w:t>
      </w:r>
      <w:r>
        <w:t xml:space="preserve">of rights in banking credit agreement in Indonesia. </w:t>
      </w:r>
      <w:r>
        <w:rPr>
          <w:i/>
        </w:rPr>
        <w:t>International Journal of Applied Business and Economic Research</w:t>
      </w:r>
      <w:r>
        <w:t xml:space="preserve">, </w:t>
      </w:r>
      <w:r>
        <w:rPr>
          <w:i/>
        </w:rPr>
        <w:t>15</w:t>
      </w:r>
      <w:r>
        <w:t>(20), 267–281. Scopus.</w:t>
      </w:r>
    </w:p>
    <w:p w:rsidR="00143FDB" w:rsidRDefault="006A44E3">
      <w:pPr>
        <w:pStyle w:val="BodyText"/>
        <w:spacing w:line="278" w:lineRule="auto"/>
        <w:ind w:left="833" w:right="64" w:hanging="720"/>
      </w:pPr>
      <w:r>
        <w:t>Matyasovszky-Németh, M., &amp; Fábián, Á. (2025). A Pluralistic Model of the Responsiveness of Law:</w:t>
      </w:r>
      <w:r>
        <w:rPr>
          <w:spacing w:val="-3"/>
        </w:rPr>
        <w:t xml:space="preserve"> </w:t>
      </w:r>
      <w:r>
        <w:t xml:space="preserve">The Case of Hungary. In </w:t>
      </w:r>
      <w:r>
        <w:rPr>
          <w:i/>
        </w:rPr>
        <w:t xml:space="preserve">Eur. Union. Neighb. Glob. World. </w:t>
      </w:r>
      <w:r>
        <w:t>(Vol. 16, pp. 225–240). Springer Nature; Scopus. https://doi.org/10.1007/978-3-031-70451-2_14</w:t>
      </w:r>
    </w:p>
    <w:p w:rsidR="00143FDB" w:rsidRDefault="006A44E3">
      <w:pPr>
        <w:pStyle w:val="BodyText"/>
        <w:spacing w:line="278" w:lineRule="auto"/>
        <w:ind w:left="833" w:right="50" w:hanging="720"/>
      </w:pPr>
      <w:r>
        <w:t>Meher,</w:t>
      </w:r>
      <w:r>
        <w:rPr>
          <w:spacing w:val="-12"/>
        </w:rPr>
        <w:t xml:space="preserve"> </w:t>
      </w:r>
      <w:r>
        <w:t>M.</w:t>
      </w:r>
      <w:r>
        <w:t>,</w:t>
      </w:r>
      <w:r>
        <w:rPr>
          <w:spacing w:val="-14"/>
        </w:rPr>
        <w:t xml:space="preserve"> </w:t>
      </w:r>
      <w:r>
        <w:t>Kamello,</w:t>
      </w:r>
      <w:r>
        <w:rPr>
          <w:spacing w:val="-13"/>
        </w:rPr>
        <w:t xml:space="preserve"> </w:t>
      </w:r>
      <w:r>
        <w:t>T.,</w:t>
      </w:r>
      <w:r>
        <w:rPr>
          <w:spacing w:val="-11"/>
        </w:rPr>
        <w:t xml:space="preserve"> </w:t>
      </w:r>
      <w:r>
        <w:t>Sirait,</w:t>
      </w:r>
      <w:r>
        <w:rPr>
          <w:spacing w:val="-11"/>
        </w:rPr>
        <w:t xml:space="preserve"> </w:t>
      </w:r>
      <w:r>
        <w:t>N.</w:t>
      </w:r>
      <w:r>
        <w:rPr>
          <w:spacing w:val="-12"/>
        </w:rPr>
        <w:t xml:space="preserve"> </w:t>
      </w:r>
      <w:r>
        <w:t>N.,</w:t>
      </w:r>
      <w:r>
        <w:rPr>
          <w:spacing w:val="-12"/>
        </w:rPr>
        <w:t xml:space="preserve"> </w:t>
      </w:r>
      <w:r>
        <w:t>&amp;</w:t>
      </w:r>
      <w:r>
        <w:rPr>
          <w:spacing w:val="-13"/>
        </w:rPr>
        <w:t xml:space="preserve"> </w:t>
      </w:r>
      <w:r>
        <w:t>Saidin,</w:t>
      </w:r>
      <w:r>
        <w:rPr>
          <w:spacing w:val="-7"/>
        </w:rPr>
        <w:t xml:space="preserve"> </w:t>
      </w:r>
      <w:r>
        <w:t>O.</w:t>
      </w:r>
      <w:r>
        <w:rPr>
          <w:spacing w:val="-12"/>
        </w:rPr>
        <w:t xml:space="preserve"> </w:t>
      </w:r>
      <w:r>
        <w:t>K.</w:t>
      </w:r>
      <w:r>
        <w:rPr>
          <w:spacing w:val="-12"/>
        </w:rPr>
        <w:t xml:space="preserve"> </w:t>
      </w:r>
      <w:r>
        <w:t>(2021).</w:t>
      </w:r>
      <w:r>
        <w:rPr>
          <w:spacing w:val="-2"/>
        </w:rPr>
        <w:t xml:space="preserve"> </w:t>
      </w:r>
      <w:r>
        <w:t>Protection</w:t>
      </w:r>
      <w:r>
        <w:rPr>
          <w:spacing w:val="-13"/>
        </w:rPr>
        <w:t xml:space="preserve"> </w:t>
      </w:r>
      <w:r>
        <w:t>of</w:t>
      </w:r>
      <w:r>
        <w:rPr>
          <w:spacing w:val="-10"/>
        </w:rPr>
        <w:t xml:space="preserve"> </w:t>
      </w:r>
      <w:r>
        <w:t>Consumer</w:t>
      </w:r>
      <w:r>
        <w:rPr>
          <w:spacing w:val="-1"/>
        </w:rPr>
        <w:t xml:space="preserve"> </w:t>
      </w:r>
      <w:r>
        <w:t>Rights</w:t>
      </w:r>
      <w:r>
        <w:rPr>
          <w:spacing w:val="-2"/>
        </w:rPr>
        <w:t xml:space="preserve"> </w:t>
      </w:r>
      <w:r>
        <w:t>in Bank</w:t>
      </w:r>
      <w:r>
        <w:rPr>
          <w:spacing w:val="-14"/>
        </w:rPr>
        <w:t xml:space="preserve"> </w:t>
      </w:r>
      <w:r>
        <w:t>Credit Agreements</w:t>
      </w:r>
      <w:r>
        <w:rPr>
          <w:spacing w:val="-3"/>
        </w:rPr>
        <w:t xml:space="preserve"> </w:t>
      </w:r>
      <w:r>
        <w:t>Based</w:t>
      </w:r>
      <w:r>
        <w:rPr>
          <w:spacing w:val="-7"/>
        </w:rPr>
        <w:t xml:space="preserve"> </w:t>
      </w:r>
      <w:r>
        <w:t>on</w:t>
      </w:r>
      <w:r>
        <w:rPr>
          <w:spacing w:val="-2"/>
        </w:rPr>
        <w:t xml:space="preserve"> </w:t>
      </w:r>
      <w:r>
        <w:t>the</w:t>
      </w:r>
      <w:r>
        <w:rPr>
          <w:spacing w:val="-1"/>
        </w:rPr>
        <w:t xml:space="preserve"> </w:t>
      </w:r>
      <w:r>
        <w:t>Principle</w:t>
      </w:r>
      <w:r>
        <w:rPr>
          <w:spacing w:val="33"/>
        </w:rPr>
        <w:t xml:space="preserve"> </w:t>
      </w:r>
      <w:r>
        <w:t xml:space="preserve">of Balance. </w:t>
      </w:r>
      <w:r>
        <w:rPr>
          <w:i/>
        </w:rPr>
        <w:t>International</w:t>
      </w:r>
      <w:r>
        <w:rPr>
          <w:i/>
          <w:spacing w:val="-5"/>
        </w:rPr>
        <w:t xml:space="preserve"> </w:t>
      </w:r>
      <w:r>
        <w:rPr>
          <w:i/>
        </w:rPr>
        <w:t>Journal</w:t>
      </w:r>
      <w:r>
        <w:rPr>
          <w:i/>
          <w:spacing w:val="-5"/>
        </w:rPr>
        <w:t xml:space="preserve"> </w:t>
      </w:r>
      <w:r>
        <w:rPr>
          <w:i/>
        </w:rPr>
        <w:t>of</w:t>
      </w:r>
      <w:r>
        <w:rPr>
          <w:i/>
          <w:spacing w:val="-3"/>
        </w:rPr>
        <w:t xml:space="preserve"> </w:t>
      </w:r>
      <w:r>
        <w:rPr>
          <w:i/>
        </w:rPr>
        <w:t>Criminal</w:t>
      </w:r>
      <w:r>
        <w:rPr>
          <w:i/>
          <w:spacing w:val="-5"/>
        </w:rPr>
        <w:t xml:space="preserve"> </w:t>
      </w:r>
      <w:r>
        <w:rPr>
          <w:i/>
        </w:rPr>
        <w:t>Justice</w:t>
      </w:r>
      <w:r>
        <w:rPr>
          <w:i/>
          <w:spacing w:val="-5"/>
        </w:rPr>
        <w:t xml:space="preserve"> </w:t>
      </w:r>
      <w:r>
        <w:rPr>
          <w:i/>
        </w:rPr>
        <w:t>Sciences</w:t>
      </w:r>
      <w:r>
        <w:t xml:space="preserve">, </w:t>
      </w:r>
      <w:r>
        <w:rPr>
          <w:i/>
        </w:rPr>
        <w:t>16</w:t>
      </w:r>
      <w:r>
        <w:t>(2), 346–357.</w:t>
      </w:r>
      <w:r>
        <w:rPr>
          <w:spacing w:val="40"/>
        </w:rPr>
        <w:t xml:space="preserve"> </w:t>
      </w:r>
      <w:r>
        <w:t>Scopus. https://doi.org/10.5281/zenodo.4756080</w:t>
      </w:r>
    </w:p>
    <w:p w:rsidR="00143FDB" w:rsidRDefault="006A44E3">
      <w:pPr>
        <w:spacing w:line="278" w:lineRule="auto"/>
        <w:ind w:left="833" w:right="61" w:hanging="720"/>
        <w:jc w:val="both"/>
      </w:pPr>
      <w:r>
        <w:t xml:space="preserve">Mihas, P. (2022). Qualitative research methods: Approaches to qualitative data analysis. In </w:t>
      </w:r>
      <w:r>
        <w:rPr>
          <w:i/>
        </w:rPr>
        <w:t xml:space="preserve">International Encyclopedia of Education: Fourth Edition </w:t>
      </w:r>
      <w:r>
        <w:t xml:space="preserve">(pp. 302–313). Elsevier; Scopus. </w:t>
      </w:r>
      <w:r>
        <w:rPr>
          <w:spacing w:val="-2"/>
        </w:rPr>
        <w:t>https://doi.org/10.1016/B978</w:t>
      </w:r>
      <w:r>
        <w:rPr>
          <w:spacing w:val="-2"/>
        </w:rPr>
        <w:t>-0-12-818630-5.11029-2</w:t>
      </w:r>
    </w:p>
    <w:p w:rsidR="00143FDB" w:rsidRDefault="006A44E3">
      <w:pPr>
        <w:spacing w:line="271" w:lineRule="auto"/>
        <w:ind w:left="113" w:right="65"/>
        <w:jc w:val="both"/>
      </w:pPr>
      <w:r>
        <w:t xml:space="preserve">Mirmina, V. (2022). The Good Faith. </w:t>
      </w:r>
      <w:r>
        <w:rPr>
          <w:i/>
        </w:rPr>
        <w:t>Actualidad Juridica Iberoamericana</w:t>
      </w:r>
      <w:r>
        <w:t xml:space="preserve">, </w:t>
      </w:r>
      <w:r>
        <w:rPr>
          <w:i/>
        </w:rPr>
        <w:t>16 BIS</w:t>
      </w:r>
      <w:r>
        <w:t>, 376–395. Scopus. Mitchell,</w:t>
      </w:r>
      <w:r>
        <w:rPr>
          <w:spacing w:val="-5"/>
        </w:rPr>
        <w:t xml:space="preserve"> </w:t>
      </w:r>
      <w:r>
        <w:t>M.</w:t>
      </w:r>
      <w:r>
        <w:rPr>
          <w:spacing w:val="-16"/>
        </w:rPr>
        <w:t xml:space="preserve"> </w:t>
      </w:r>
      <w:r>
        <w:t>(2023).</w:t>
      </w:r>
      <w:r>
        <w:rPr>
          <w:spacing w:val="-10"/>
        </w:rPr>
        <w:t xml:space="preserve"> </w:t>
      </w:r>
      <w:r>
        <w:t>Analyzing</w:t>
      </w:r>
      <w:r>
        <w:rPr>
          <w:spacing w:val="-2"/>
        </w:rPr>
        <w:t xml:space="preserve"> </w:t>
      </w:r>
      <w:r>
        <w:t>the</w:t>
      </w:r>
      <w:r>
        <w:rPr>
          <w:spacing w:val="-13"/>
        </w:rPr>
        <w:t xml:space="preserve"> </w:t>
      </w:r>
      <w:r>
        <w:t>law</w:t>
      </w:r>
      <w:r>
        <w:rPr>
          <w:spacing w:val="-12"/>
        </w:rPr>
        <w:t xml:space="preserve"> </w:t>
      </w:r>
      <w:r>
        <w:t>qualitatively.</w:t>
      </w:r>
      <w:r>
        <w:rPr>
          <w:spacing w:val="28"/>
        </w:rPr>
        <w:t xml:space="preserve"> </w:t>
      </w:r>
      <w:r>
        <w:rPr>
          <w:i/>
        </w:rPr>
        <w:t>Qualitative</w:t>
      </w:r>
      <w:r>
        <w:rPr>
          <w:i/>
          <w:spacing w:val="-20"/>
        </w:rPr>
        <w:t xml:space="preserve"> </w:t>
      </w:r>
      <w:r>
        <w:rPr>
          <w:i/>
        </w:rPr>
        <w:t>Research</w:t>
      </w:r>
      <w:r>
        <w:rPr>
          <w:i/>
          <w:spacing w:val="-34"/>
        </w:rPr>
        <w:t xml:space="preserve"> </w:t>
      </w:r>
      <w:r>
        <w:rPr>
          <w:i/>
        </w:rPr>
        <w:t>Journal</w:t>
      </w:r>
      <w:r>
        <w:t>,</w:t>
      </w:r>
      <w:r>
        <w:rPr>
          <w:spacing w:val="-36"/>
        </w:rPr>
        <w:t xml:space="preserve"> </w:t>
      </w:r>
      <w:r>
        <w:rPr>
          <w:i/>
        </w:rPr>
        <w:t>23</w:t>
      </w:r>
      <w:r>
        <w:t>(1),</w:t>
      </w:r>
      <w:r>
        <w:rPr>
          <w:spacing w:val="-36"/>
        </w:rPr>
        <w:t xml:space="preserve"> </w:t>
      </w:r>
      <w:r>
        <w:t>102–113.</w:t>
      </w:r>
      <w:r>
        <w:rPr>
          <w:spacing w:val="-21"/>
        </w:rPr>
        <w:t xml:space="preserve"> </w:t>
      </w:r>
      <w:r>
        <w:t>Scopus.</w:t>
      </w:r>
    </w:p>
    <w:p w:rsidR="00143FDB" w:rsidRDefault="006A44E3">
      <w:pPr>
        <w:pStyle w:val="BodyText"/>
        <w:ind w:left="833"/>
        <w:jc w:val="left"/>
      </w:pPr>
      <w:r>
        <w:rPr>
          <w:spacing w:val="-6"/>
        </w:rPr>
        <w:t>https://doi.org/10.1108/QRJ-</w:t>
      </w:r>
      <w:r>
        <w:rPr>
          <w:spacing w:val="-6"/>
        </w:rPr>
        <w:t>04-2022-0061</w:t>
      </w:r>
    </w:p>
    <w:p w:rsidR="00143FDB" w:rsidRDefault="006A44E3">
      <w:pPr>
        <w:pStyle w:val="BodyText"/>
        <w:spacing w:before="8" w:line="271" w:lineRule="auto"/>
        <w:ind w:left="833" w:hanging="720"/>
        <w:jc w:val="left"/>
      </w:pPr>
      <w:r>
        <w:t>Modras,</w:t>
      </w:r>
      <w:r>
        <w:rPr>
          <w:spacing w:val="-10"/>
        </w:rPr>
        <w:t xml:space="preserve"> </w:t>
      </w:r>
      <w:r>
        <w:t>A.</w:t>
      </w:r>
      <w:r>
        <w:rPr>
          <w:spacing w:val="-13"/>
        </w:rPr>
        <w:t xml:space="preserve"> </w:t>
      </w:r>
      <w:r>
        <w:t>(2023).</w:t>
      </w:r>
      <w:r>
        <w:rPr>
          <w:spacing w:val="-10"/>
        </w:rPr>
        <w:t xml:space="preserve"> </w:t>
      </w:r>
      <w:r>
        <w:t>Legal</w:t>
      </w:r>
      <w:r>
        <w:rPr>
          <w:spacing w:val="-11"/>
        </w:rPr>
        <w:t xml:space="preserve"> </w:t>
      </w:r>
      <w:r>
        <w:t>risk</w:t>
      </w:r>
      <w:r>
        <w:rPr>
          <w:spacing w:val="-5"/>
        </w:rPr>
        <w:t xml:space="preserve"> </w:t>
      </w:r>
      <w:r>
        <w:t>management</w:t>
      </w:r>
      <w:r>
        <w:rPr>
          <w:spacing w:val="-1"/>
        </w:rPr>
        <w:t xml:space="preserve"> </w:t>
      </w:r>
      <w:r>
        <w:t>in</w:t>
      </w:r>
      <w:r>
        <w:rPr>
          <w:spacing w:val="-6"/>
        </w:rPr>
        <w:t xml:space="preserve"> </w:t>
      </w:r>
      <w:r>
        <w:t>the</w:t>
      </w:r>
      <w:r>
        <w:rPr>
          <w:spacing w:val="-3"/>
        </w:rPr>
        <w:t xml:space="preserve"> </w:t>
      </w:r>
      <w:r>
        <w:t>Polish</w:t>
      </w:r>
      <w:r>
        <w:rPr>
          <w:spacing w:val="-5"/>
        </w:rPr>
        <w:t xml:space="preserve"> </w:t>
      </w:r>
      <w:r>
        <w:t>banking</w:t>
      </w:r>
      <w:r>
        <w:rPr>
          <w:spacing w:val="17"/>
        </w:rPr>
        <w:t xml:space="preserve"> </w:t>
      </w:r>
      <w:r>
        <w:t>sector.</w:t>
      </w:r>
      <w:r>
        <w:rPr>
          <w:spacing w:val="-7"/>
        </w:rPr>
        <w:t xml:space="preserve"> </w:t>
      </w:r>
      <w:r>
        <w:rPr>
          <w:i/>
        </w:rPr>
        <w:t>Journal</w:t>
      </w:r>
      <w:r>
        <w:rPr>
          <w:i/>
          <w:spacing w:val="-9"/>
        </w:rPr>
        <w:t xml:space="preserve"> </w:t>
      </w:r>
      <w:r>
        <w:rPr>
          <w:i/>
        </w:rPr>
        <w:t>of</w:t>
      </w:r>
      <w:r>
        <w:rPr>
          <w:i/>
          <w:spacing w:val="-9"/>
        </w:rPr>
        <w:t xml:space="preserve"> </w:t>
      </w:r>
      <w:r>
        <w:rPr>
          <w:i/>
        </w:rPr>
        <w:t>Operational</w:t>
      </w:r>
      <w:r>
        <w:rPr>
          <w:i/>
          <w:spacing w:val="-11"/>
        </w:rPr>
        <w:t xml:space="preserve"> </w:t>
      </w:r>
      <w:r>
        <w:rPr>
          <w:i/>
        </w:rPr>
        <w:t>Risk</w:t>
      </w:r>
      <w:r>
        <w:t>,</w:t>
      </w:r>
      <w:r>
        <w:rPr>
          <w:spacing w:val="-13"/>
        </w:rPr>
        <w:t xml:space="preserve"> </w:t>
      </w:r>
      <w:r>
        <w:rPr>
          <w:i/>
        </w:rPr>
        <w:t>18</w:t>
      </w:r>
      <w:r>
        <w:t>(4), 103–125.</w:t>
      </w:r>
      <w:r>
        <w:rPr>
          <w:spacing w:val="40"/>
        </w:rPr>
        <w:t xml:space="preserve"> </w:t>
      </w:r>
      <w:r>
        <w:t>Scopus. https://doi.org/10.21314/JOP.2023.007</w:t>
      </w:r>
    </w:p>
    <w:p w:rsidR="00143FDB" w:rsidRDefault="006A44E3">
      <w:pPr>
        <w:pStyle w:val="BodyText"/>
        <w:spacing w:before="14"/>
        <w:jc w:val="left"/>
      </w:pPr>
      <w:r>
        <w:t>Muljono,</w:t>
      </w:r>
      <w:r>
        <w:rPr>
          <w:spacing w:val="45"/>
        </w:rPr>
        <w:t xml:space="preserve"> </w:t>
      </w:r>
      <w:r>
        <w:t>H.</w:t>
      </w:r>
      <w:r>
        <w:rPr>
          <w:spacing w:val="6"/>
        </w:rPr>
        <w:t xml:space="preserve"> </w:t>
      </w:r>
      <w:r>
        <w:t>T.,</w:t>
      </w:r>
      <w:r>
        <w:rPr>
          <w:spacing w:val="-3"/>
        </w:rPr>
        <w:t xml:space="preserve"> </w:t>
      </w:r>
      <w:r>
        <w:t>Ratnawati,</w:t>
      </w:r>
      <w:r>
        <w:rPr>
          <w:spacing w:val="-5"/>
        </w:rPr>
        <w:t xml:space="preserve"> </w:t>
      </w:r>
      <w:r>
        <w:t>T.,</w:t>
      </w:r>
      <w:r>
        <w:rPr>
          <w:spacing w:val="10"/>
        </w:rPr>
        <w:t xml:space="preserve"> </w:t>
      </w:r>
      <w:r>
        <w:t>&amp;</w:t>
      </w:r>
      <w:r>
        <w:rPr>
          <w:spacing w:val="-5"/>
        </w:rPr>
        <w:t xml:space="preserve"> </w:t>
      </w:r>
      <w:r>
        <w:t>Ridwan,</w:t>
      </w:r>
      <w:r>
        <w:rPr>
          <w:spacing w:val="23"/>
        </w:rPr>
        <w:t xml:space="preserve"> </w:t>
      </w:r>
      <w:r>
        <w:t>M.</w:t>
      </w:r>
      <w:r>
        <w:rPr>
          <w:spacing w:val="9"/>
        </w:rPr>
        <w:t xml:space="preserve"> </w:t>
      </w:r>
      <w:r>
        <w:t>S.</w:t>
      </w:r>
      <w:r>
        <w:rPr>
          <w:spacing w:val="7"/>
        </w:rPr>
        <w:t xml:space="preserve"> </w:t>
      </w:r>
      <w:r>
        <w:t>(2024).</w:t>
      </w:r>
      <w:r>
        <w:rPr>
          <w:spacing w:val="9"/>
        </w:rPr>
        <w:t xml:space="preserve"> </w:t>
      </w:r>
      <w:r>
        <w:t>Reconstructing</w:t>
      </w:r>
      <w:r>
        <w:rPr>
          <w:spacing w:val="11"/>
        </w:rPr>
        <w:t xml:space="preserve"> </w:t>
      </w:r>
      <w:r>
        <w:t>gearing</w:t>
      </w:r>
      <w:r>
        <w:rPr>
          <w:spacing w:val="24"/>
        </w:rPr>
        <w:t xml:space="preserve"> </w:t>
      </w:r>
      <w:r>
        <w:t>ratios</w:t>
      </w:r>
      <w:r>
        <w:rPr>
          <w:spacing w:val="7"/>
        </w:rPr>
        <w:t xml:space="preserve"> </w:t>
      </w:r>
      <w:r>
        <w:t>and</w:t>
      </w:r>
      <w:r>
        <w:rPr>
          <w:spacing w:val="12"/>
        </w:rPr>
        <w:t xml:space="preserve"> </w:t>
      </w:r>
      <w:r>
        <w:t>digital-</w:t>
      </w:r>
      <w:r>
        <w:rPr>
          <w:spacing w:val="-2"/>
        </w:rPr>
        <w:t>based</w:t>
      </w:r>
    </w:p>
    <w:p w:rsidR="00143FDB" w:rsidRDefault="00143FDB">
      <w:pPr>
        <w:pStyle w:val="BodyText"/>
        <w:jc w:val="left"/>
        <w:sectPr w:rsidR="00143FDB">
          <w:headerReference w:type="default" r:id="rId15"/>
          <w:footerReference w:type="default" r:id="rId16"/>
          <w:pgSz w:w="11920" w:h="16860"/>
          <w:pgMar w:top="1460" w:right="1133" w:bottom="2400" w:left="1133" w:header="282" w:footer="2209" w:gutter="0"/>
          <w:pgNumType w:start="4970"/>
          <w:cols w:space="720"/>
        </w:sectPr>
      </w:pPr>
    </w:p>
    <w:p w:rsidR="00143FDB" w:rsidRDefault="006A44E3">
      <w:pPr>
        <w:pStyle w:val="BodyText"/>
        <w:spacing w:before="81" w:line="271" w:lineRule="auto"/>
        <w:ind w:left="833" w:right="66"/>
      </w:pPr>
      <w:r>
        <w:lastRenderedPageBreak/>
        <w:t>service</w:t>
      </w:r>
      <w:r>
        <w:rPr>
          <w:spacing w:val="-4"/>
        </w:rPr>
        <w:t xml:space="preserve"> </w:t>
      </w:r>
      <w:r>
        <w:t>rates</w:t>
      </w:r>
      <w:r>
        <w:rPr>
          <w:spacing w:val="-5"/>
        </w:rPr>
        <w:t xml:space="preserve"> </w:t>
      </w:r>
      <w:r>
        <w:t>to</w:t>
      </w:r>
      <w:r>
        <w:rPr>
          <w:spacing w:val="-3"/>
        </w:rPr>
        <w:t xml:space="preserve"> </w:t>
      </w:r>
      <w:r>
        <w:t xml:space="preserve">mitigate financial risks for sustainable development in Indonesia’s credit guarantee industry. </w:t>
      </w:r>
      <w:r>
        <w:rPr>
          <w:i/>
        </w:rPr>
        <w:t>Edelweiss Applied Science and Technology</w:t>
      </w:r>
      <w:r>
        <w:t xml:space="preserve">, </w:t>
      </w:r>
      <w:r>
        <w:rPr>
          <w:i/>
        </w:rPr>
        <w:t>8</w:t>
      </w:r>
      <w:r>
        <w:t xml:space="preserve">(6), 3589–3601. Scopus. </w:t>
      </w:r>
      <w:r>
        <w:rPr>
          <w:spacing w:val="-2"/>
        </w:rPr>
        <w:t>https://doi.org/10.55214/25768484.v8i6.2774</w:t>
      </w:r>
    </w:p>
    <w:p w:rsidR="00143FDB" w:rsidRDefault="006A44E3">
      <w:pPr>
        <w:pStyle w:val="BodyText"/>
        <w:spacing w:before="14" w:line="278" w:lineRule="auto"/>
        <w:ind w:left="833" w:right="70" w:hanging="720"/>
      </w:pPr>
      <w:r>
        <w:t>Muslim, S., Hadiyantina, S.,</w:t>
      </w:r>
      <w:r>
        <w:rPr>
          <w:spacing w:val="-5"/>
        </w:rPr>
        <w:t xml:space="preserve"> </w:t>
      </w:r>
      <w:r>
        <w:t>Mundzir, H.,</w:t>
      </w:r>
      <w:r>
        <w:rPr>
          <w:spacing w:val="-5"/>
        </w:rPr>
        <w:t xml:space="preserve"> </w:t>
      </w:r>
      <w:r>
        <w:t>&amp; Ayub, Z. A.</w:t>
      </w:r>
      <w:r>
        <w:rPr>
          <w:spacing w:val="-5"/>
        </w:rPr>
        <w:t xml:space="preserve"> </w:t>
      </w:r>
      <w:r>
        <w:t>(2023). The Meaning of “Strength Executive"</w:t>
      </w:r>
      <w:r>
        <w:rPr>
          <w:spacing w:val="-4"/>
        </w:rPr>
        <w:t xml:space="preserve"> </w:t>
      </w:r>
      <w:r>
        <w:t>in the</w:t>
      </w:r>
      <w:r>
        <w:rPr>
          <w:spacing w:val="-9"/>
        </w:rPr>
        <w:t xml:space="preserve"> </w:t>
      </w:r>
      <w:r>
        <w:t>Constitutional Court</w:t>
      </w:r>
      <w:r>
        <w:rPr>
          <w:spacing w:val="-6"/>
        </w:rPr>
        <w:t xml:space="preserve"> </w:t>
      </w:r>
      <w:r>
        <w:t>Decision</w:t>
      </w:r>
      <w:r>
        <w:rPr>
          <w:spacing w:val="-4"/>
        </w:rPr>
        <w:t xml:space="preserve"> </w:t>
      </w:r>
      <w:r>
        <w:t>for</w:t>
      </w:r>
      <w:r>
        <w:rPr>
          <w:spacing w:val="-8"/>
        </w:rPr>
        <w:t xml:space="preserve"> </w:t>
      </w:r>
      <w:r>
        <w:t>the</w:t>
      </w:r>
      <w:r>
        <w:rPr>
          <w:spacing w:val="-8"/>
        </w:rPr>
        <w:t xml:space="preserve"> </w:t>
      </w:r>
      <w:r>
        <w:t>Execution</w:t>
      </w:r>
      <w:r>
        <w:rPr>
          <w:spacing w:val="-2"/>
        </w:rPr>
        <w:t xml:space="preserve"> </w:t>
      </w:r>
      <w:r>
        <w:t>of</w:t>
      </w:r>
      <w:r>
        <w:rPr>
          <w:spacing w:val="-9"/>
        </w:rPr>
        <w:t xml:space="preserve"> </w:t>
      </w:r>
      <w:r>
        <w:t>Fiduciary</w:t>
      </w:r>
      <w:r>
        <w:rPr>
          <w:spacing w:val="-5"/>
        </w:rPr>
        <w:t xml:space="preserve"> </w:t>
      </w:r>
      <w:r>
        <w:t xml:space="preserve">Securities. </w:t>
      </w:r>
      <w:r>
        <w:rPr>
          <w:i/>
        </w:rPr>
        <w:t>Legality:</w:t>
      </w:r>
      <w:r>
        <w:rPr>
          <w:i/>
          <w:spacing w:val="-8"/>
        </w:rPr>
        <w:t xml:space="preserve"> </w:t>
      </w:r>
      <w:r>
        <w:rPr>
          <w:i/>
        </w:rPr>
        <w:t>Jurnal</w:t>
      </w:r>
      <w:r>
        <w:rPr>
          <w:i/>
          <w:spacing w:val="-8"/>
        </w:rPr>
        <w:t xml:space="preserve"> </w:t>
      </w:r>
      <w:r>
        <w:rPr>
          <w:i/>
        </w:rPr>
        <w:t>Ilmiah Hukum</w:t>
      </w:r>
      <w:r>
        <w:t xml:space="preserve">, </w:t>
      </w:r>
      <w:r>
        <w:rPr>
          <w:i/>
        </w:rPr>
        <w:t>31</w:t>
      </w:r>
      <w:r>
        <w:t>(1), 1–20. Scopus. https://doi.org/10.22219</w:t>
      </w:r>
      <w:r>
        <w:t>/ljih.v31i1.23244</w:t>
      </w:r>
    </w:p>
    <w:p w:rsidR="00143FDB" w:rsidRDefault="006A44E3">
      <w:pPr>
        <w:pStyle w:val="BodyText"/>
        <w:spacing w:line="278" w:lineRule="auto"/>
        <w:ind w:left="833" w:right="64" w:hanging="720"/>
      </w:pPr>
      <w:r>
        <w:t>Muttaqin, L.,</w:t>
      </w:r>
      <w:r>
        <w:rPr>
          <w:spacing w:val="-1"/>
        </w:rPr>
        <w:t xml:space="preserve"> </w:t>
      </w:r>
      <w:r>
        <w:t>Atmoredjo, S., &amp; Omara, A. (2024). The Relationship</w:t>
      </w:r>
      <w:r>
        <w:rPr>
          <w:spacing w:val="36"/>
        </w:rPr>
        <w:t xml:space="preserve"> </w:t>
      </w:r>
      <w:r>
        <w:t xml:space="preserve">between Pancasila and Constitutional Court Decisions as a Source of Law in Indonesia. </w:t>
      </w:r>
      <w:r>
        <w:rPr>
          <w:i/>
        </w:rPr>
        <w:t>Jurnal Konstitusi</w:t>
      </w:r>
      <w:r>
        <w:t xml:space="preserve">, </w:t>
      </w:r>
      <w:r>
        <w:rPr>
          <w:i/>
        </w:rPr>
        <w:t>21</w:t>
      </w:r>
      <w:r>
        <w:t xml:space="preserve">(1), 77–97. Scopus. </w:t>
      </w:r>
      <w:r>
        <w:rPr>
          <w:spacing w:val="-2"/>
        </w:rPr>
        <w:t>https://doi.org/10.31078/jk2115</w:t>
      </w:r>
    </w:p>
    <w:p w:rsidR="00143FDB" w:rsidRDefault="006A44E3">
      <w:pPr>
        <w:pStyle w:val="BodyText"/>
        <w:spacing w:line="278" w:lineRule="auto"/>
        <w:ind w:left="833" w:right="67" w:hanging="720"/>
      </w:pPr>
      <w:r>
        <w:t xml:space="preserve">Nasution, A. </w:t>
      </w:r>
      <w:r>
        <w:t>J., Kamello, T., &amp; Purba, H. (2025). Fiduciary Guarantee Agreement in Relation to Constitutional Court</w:t>
      </w:r>
      <w:r>
        <w:rPr>
          <w:spacing w:val="-3"/>
        </w:rPr>
        <w:t xml:space="preserve"> </w:t>
      </w:r>
      <w:r>
        <w:t>Decision</w:t>
      </w:r>
      <w:r>
        <w:rPr>
          <w:spacing w:val="-6"/>
        </w:rPr>
        <w:t xml:space="preserve"> </w:t>
      </w:r>
      <w:r>
        <w:t>Number:</w:t>
      </w:r>
      <w:r>
        <w:rPr>
          <w:spacing w:val="-3"/>
        </w:rPr>
        <w:t xml:space="preserve"> </w:t>
      </w:r>
      <w:r>
        <w:t>18/PUU-XVII/2019.</w:t>
      </w:r>
      <w:r>
        <w:rPr>
          <w:spacing w:val="-1"/>
        </w:rPr>
        <w:t xml:space="preserve"> </w:t>
      </w:r>
      <w:r>
        <w:rPr>
          <w:i/>
        </w:rPr>
        <w:t>Journal</w:t>
      </w:r>
      <w:r>
        <w:rPr>
          <w:i/>
          <w:spacing w:val="-7"/>
        </w:rPr>
        <w:t xml:space="preserve"> </w:t>
      </w:r>
      <w:r>
        <w:rPr>
          <w:i/>
        </w:rPr>
        <w:t>of</w:t>
      </w:r>
      <w:r>
        <w:rPr>
          <w:i/>
          <w:spacing w:val="-8"/>
        </w:rPr>
        <w:t xml:space="preserve"> </w:t>
      </w:r>
      <w:r>
        <w:rPr>
          <w:i/>
        </w:rPr>
        <w:t>Ecohumanism</w:t>
      </w:r>
      <w:r>
        <w:t>,</w:t>
      </w:r>
      <w:r>
        <w:rPr>
          <w:spacing w:val="-9"/>
        </w:rPr>
        <w:t xml:space="preserve"> </w:t>
      </w:r>
      <w:r>
        <w:rPr>
          <w:i/>
        </w:rPr>
        <w:t>4</w:t>
      </w:r>
      <w:r>
        <w:t>(1),</w:t>
      </w:r>
      <w:r>
        <w:rPr>
          <w:spacing w:val="-10"/>
        </w:rPr>
        <w:t xml:space="preserve"> </w:t>
      </w:r>
      <w:r>
        <w:t>2048– 2052.</w:t>
      </w:r>
      <w:r>
        <w:rPr>
          <w:spacing w:val="40"/>
        </w:rPr>
        <w:t xml:space="preserve"> </w:t>
      </w:r>
      <w:r>
        <w:t>Scopus. https://doi.org/10.62754/joe.v4i1.6025</w:t>
      </w:r>
    </w:p>
    <w:p w:rsidR="00143FDB" w:rsidRDefault="006A44E3">
      <w:pPr>
        <w:pStyle w:val="BodyText"/>
        <w:spacing w:line="288" w:lineRule="auto"/>
        <w:ind w:left="833" w:right="68" w:hanging="720"/>
      </w:pPr>
      <w:r>
        <w:t>Natamiharja,</w:t>
      </w:r>
      <w:r>
        <w:rPr>
          <w:spacing w:val="-11"/>
        </w:rPr>
        <w:t xml:space="preserve"> </w:t>
      </w:r>
      <w:r>
        <w:t>R.,</w:t>
      </w:r>
      <w:r>
        <w:rPr>
          <w:spacing w:val="-12"/>
        </w:rPr>
        <w:t xml:space="preserve"> </w:t>
      </w:r>
      <w:r>
        <w:t>Sernac,</w:t>
      </w:r>
      <w:r>
        <w:rPr>
          <w:spacing w:val="-13"/>
        </w:rPr>
        <w:t xml:space="preserve"> </w:t>
      </w:r>
      <w:r>
        <w:t>J.</w:t>
      </w:r>
      <w:r>
        <w:rPr>
          <w:spacing w:val="-12"/>
        </w:rPr>
        <w:t xml:space="preserve"> </w:t>
      </w:r>
      <w:r>
        <w:t>A.</w:t>
      </w:r>
      <w:r>
        <w:rPr>
          <w:spacing w:val="-7"/>
        </w:rPr>
        <w:t xml:space="preserve"> </w:t>
      </w:r>
      <w:r>
        <w:t>M.,</w:t>
      </w:r>
      <w:r>
        <w:rPr>
          <w:spacing w:val="-11"/>
        </w:rPr>
        <w:t xml:space="preserve"> </w:t>
      </w:r>
      <w:r>
        <w:t>&amp;</w:t>
      </w:r>
      <w:r>
        <w:rPr>
          <w:spacing w:val="-4"/>
        </w:rPr>
        <w:t xml:space="preserve"> </w:t>
      </w:r>
      <w:r>
        <w:t>Syofyan,</w:t>
      </w:r>
      <w:r>
        <w:rPr>
          <w:spacing w:val="-11"/>
        </w:rPr>
        <w:t xml:space="preserve"> </w:t>
      </w:r>
      <w:r>
        <w:t>A.</w:t>
      </w:r>
      <w:r>
        <w:rPr>
          <w:spacing w:val="-2"/>
        </w:rPr>
        <w:t xml:space="preserve"> </w:t>
      </w:r>
      <w:r>
        <w:t>(2022).</w:t>
      </w:r>
      <w:r>
        <w:rPr>
          <w:spacing w:val="-1"/>
        </w:rPr>
        <w:t xml:space="preserve"> </w:t>
      </w:r>
      <w:r>
        <w:t>Implementation</w:t>
      </w:r>
      <w:r>
        <w:rPr>
          <w:spacing w:val="-9"/>
        </w:rPr>
        <w:t xml:space="preserve"> </w:t>
      </w:r>
      <w:r>
        <w:t>of</w:t>
      </w:r>
      <w:r>
        <w:rPr>
          <w:spacing w:val="-6"/>
        </w:rPr>
        <w:t xml:space="preserve"> </w:t>
      </w:r>
      <w:r>
        <w:t>Civil</w:t>
      </w:r>
      <w:r>
        <w:rPr>
          <w:spacing w:val="-11"/>
        </w:rPr>
        <w:t xml:space="preserve"> </w:t>
      </w:r>
      <w:r>
        <w:t>Rights</w:t>
      </w:r>
      <w:r>
        <w:rPr>
          <w:spacing w:val="-4"/>
        </w:rPr>
        <w:t xml:space="preserve"> </w:t>
      </w:r>
      <w:r>
        <w:t>against</w:t>
      </w:r>
      <w:r>
        <w:rPr>
          <w:spacing w:val="-8"/>
        </w:rPr>
        <w:t xml:space="preserve"> </w:t>
      </w:r>
      <w:r>
        <w:t>Vulnerable Groups</w:t>
      </w:r>
      <w:r>
        <w:rPr>
          <w:spacing w:val="40"/>
        </w:rPr>
        <w:t xml:space="preserve"> </w:t>
      </w:r>
      <w:r>
        <w:t>in the Legal and Constitutional</w:t>
      </w:r>
      <w:r>
        <w:rPr>
          <w:spacing w:val="40"/>
        </w:rPr>
        <w:t xml:space="preserve"> </w:t>
      </w:r>
      <w:r>
        <w:t>System in Indonesia.</w:t>
      </w:r>
      <w:r>
        <w:rPr>
          <w:spacing w:val="38"/>
        </w:rPr>
        <w:t xml:space="preserve"> </w:t>
      </w:r>
      <w:r>
        <w:rPr>
          <w:i/>
        </w:rPr>
        <w:t>Hasanuddin</w:t>
      </w:r>
      <w:r>
        <w:rPr>
          <w:i/>
          <w:spacing w:val="-16"/>
        </w:rPr>
        <w:t xml:space="preserve"> </w:t>
      </w:r>
      <w:r>
        <w:rPr>
          <w:i/>
        </w:rPr>
        <w:t>Law</w:t>
      </w:r>
      <w:r>
        <w:rPr>
          <w:i/>
          <w:spacing w:val="-10"/>
        </w:rPr>
        <w:t xml:space="preserve"> </w:t>
      </w:r>
      <w:r>
        <w:rPr>
          <w:i/>
        </w:rPr>
        <w:t>Review</w:t>
      </w:r>
      <w:r>
        <w:t>,</w:t>
      </w:r>
      <w:r>
        <w:rPr>
          <w:spacing w:val="-21"/>
        </w:rPr>
        <w:t xml:space="preserve"> </w:t>
      </w:r>
      <w:r>
        <w:rPr>
          <w:i/>
        </w:rPr>
        <w:t>8</w:t>
      </w:r>
      <w:r>
        <w:t>(3),</w:t>
      </w:r>
      <w:r>
        <w:rPr>
          <w:spacing w:val="-5"/>
        </w:rPr>
        <w:t xml:space="preserve"> </w:t>
      </w:r>
      <w:r>
        <w:t>299–</w:t>
      </w:r>
    </w:p>
    <w:p w:rsidR="00143FDB" w:rsidRDefault="006A44E3">
      <w:pPr>
        <w:pStyle w:val="BodyText"/>
        <w:spacing w:line="241" w:lineRule="exact"/>
        <w:ind w:left="833"/>
      </w:pPr>
      <w:r>
        <w:t>309.</w:t>
      </w:r>
      <w:r>
        <w:rPr>
          <w:spacing w:val="-8"/>
        </w:rPr>
        <w:t xml:space="preserve"> </w:t>
      </w:r>
      <w:r>
        <w:t>Scopus.</w:t>
      </w:r>
      <w:r>
        <w:rPr>
          <w:spacing w:val="-7"/>
        </w:rPr>
        <w:t xml:space="preserve"> </w:t>
      </w:r>
      <w:r>
        <w:rPr>
          <w:spacing w:val="-2"/>
        </w:rPr>
        <w:t>https://doi.org/10.20956/halrev.v8i3.4229</w:t>
      </w:r>
    </w:p>
    <w:p w:rsidR="00143FDB" w:rsidRDefault="006A44E3">
      <w:pPr>
        <w:pStyle w:val="BodyText"/>
        <w:spacing w:before="5" w:line="268" w:lineRule="auto"/>
        <w:ind w:left="833" w:right="65" w:hanging="720"/>
      </w:pPr>
      <w:r>
        <w:t>Ningsih,</w:t>
      </w:r>
      <w:r>
        <w:rPr>
          <w:spacing w:val="-12"/>
        </w:rPr>
        <w:t xml:space="preserve"> </w:t>
      </w:r>
      <w:r>
        <w:t>A.</w:t>
      </w:r>
      <w:r>
        <w:rPr>
          <w:spacing w:val="-12"/>
        </w:rPr>
        <w:t xml:space="preserve"> </w:t>
      </w:r>
      <w:r>
        <w:t>S.</w:t>
      </w:r>
      <w:r>
        <w:rPr>
          <w:spacing w:val="-14"/>
        </w:rPr>
        <w:t xml:space="preserve"> </w:t>
      </w:r>
      <w:r>
        <w:t>(2021).</w:t>
      </w:r>
      <w:r>
        <w:rPr>
          <w:spacing w:val="-13"/>
        </w:rPr>
        <w:t xml:space="preserve"> </w:t>
      </w:r>
      <w:r>
        <w:t>The</w:t>
      </w:r>
      <w:r>
        <w:rPr>
          <w:spacing w:val="-14"/>
        </w:rPr>
        <w:t xml:space="preserve"> </w:t>
      </w:r>
      <w:r>
        <w:t>L</w:t>
      </w:r>
      <w:r>
        <w:t>egal</w:t>
      </w:r>
      <w:r>
        <w:rPr>
          <w:spacing w:val="-9"/>
        </w:rPr>
        <w:t xml:space="preserve"> </w:t>
      </w:r>
      <w:r>
        <w:t>Protection</w:t>
      </w:r>
      <w:r>
        <w:rPr>
          <w:spacing w:val="-14"/>
        </w:rPr>
        <w:t xml:space="preserve"> </w:t>
      </w:r>
      <w:r>
        <w:t>for</w:t>
      </w:r>
      <w:r>
        <w:rPr>
          <w:spacing w:val="-10"/>
        </w:rPr>
        <w:t xml:space="preserve"> </w:t>
      </w:r>
      <w:r>
        <w:t>Debtors</w:t>
      </w:r>
      <w:r>
        <w:rPr>
          <w:spacing w:val="-11"/>
        </w:rPr>
        <w:t xml:space="preserve"> </w:t>
      </w:r>
      <w:r>
        <w:t>in</w:t>
      </w:r>
      <w:r>
        <w:rPr>
          <w:spacing w:val="-5"/>
        </w:rPr>
        <w:t xml:space="preserve"> </w:t>
      </w:r>
      <w:r>
        <w:t>the</w:t>
      </w:r>
      <w:r>
        <w:rPr>
          <w:spacing w:val="-11"/>
        </w:rPr>
        <w:t xml:space="preserve"> </w:t>
      </w:r>
      <w:r>
        <w:t>Execution</w:t>
      </w:r>
      <w:r>
        <w:rPr>
          <w:spacing w:val="-9"/>
        </w:rPr>
        <w:t xml:space="preserve"> </w:t>
      </w:r>
      <w:r>
        <w:t>of</w:t>
      </w:r>
      <w:r>
        <w:rPr>
          <w:spacing w:val="-3"/>
        </w:rPr>
        <w:t xml:space="preserve"> </w:t>
      </w:r>
      <w:r>
        <w:t>Mortgage</w:t>
      </w:r>
      <w:r>
        <w:rPr>
          <w:spacing w:val="-11"/>
        </w:rPr>
        <w:t xml:space="preserve"> </w:t>
      </w:r>
      <w:r>
        <w:t>at</w:t>
      </w:r>
      <w:r>
        <w:rPr>
          <w:spacing w:val="-13"/>
        </w:rPr>
        <w:t xml:space="preserve"> </w:t>
      </w:r>
      <w:r>
        <w:t>The</w:t>
      </w:r>
      <w:r>
        <w:rPr>
          <w:spacing w:val="-11"/>
        </w:rPr>
        <w:t xml:space="preserve"> </w:t>
      </w:r>
      <w:r>
        <w:t>Semarang</w:t>
      </w:r>
      <w:r>
        <w:rPr>
          <w:spacing w:val="-13"/>
        </w:rPr>
        <w:t xml:space="preserve"> </w:t>
      </w:r>
      <w:r>
        <w:t>State Assets</w:t>
      </w:r>
      <w:r>
        <w:rPr>
          <w:spacing w:val="-9"/>
        </w:rPr>
        <w:t xml:space="preserve"> </w:t>
      </w:r>
      <w:r>
        <w:t>and</w:t>
      </w:r>
      <w:r>
        <w:rPr>
          <w:spacing w:val="-10"/>
        </w:rPr>
        <w:t xml:space="preserve"> </w:t>
      </w:r>
      <w:r>
        <w:t>Auction</w:t>
      </w:r>
      <w:r>
        <w:rPr>
          <w:spacing w:val="-9"/>
        </w:rPr>
        <w:t xml:space="preserve"> </w:t>
      </w:r>
      <w:r>
        <w:t>Service</w:t>
      </w:r>
      <w:r>
        <w:rPr>
          <w:spacing w:val="-6"/>
        </w:rPr>
        <w:t xml:space="preserve"> </w:t>
      </w:r>
      <w:r>
        <w:t>Office.</w:t>
      </w:r>
      <w:r>
        <w:rPr>
          <w:spacing w:val="-2"/>
        </w:rPr>
        <w:t xml:space="preserve"> </w:t>
      </w:r>
      <w:r>
        <w:rPr>
          <w:i/>
        </w:rPr>
        <w:t>Jurisdictie:</w:t>
      </w:r>
      <w:r>
        <w:rPr>
          <w:i/>
          <w:spacing w:val="-5"/>
        </w:rPr>
        <w:t xml:space="preserve"> </w:t>
      </w:r>
      <w:r>
        <w:rPr>
          <w:i/>
        </w:rPr>
        <w:t>Jurnal</w:t>
      </w:r>
      <w:r>
        <w:rPr>
          <w:i/>
          <w:spacing w:val="-11"/>
        </w:rPr>
        <w:t xml:space="preserve"> </w:t>
      </w:r>
      <w:r>
        <w:rPr>
          <w:i/>
        </w:rPr>
        <w:t>Hukum</w:t>
      </w:r>
      <w:r>
        <w:rPr>
          <w:i/>
          <w:spacing w:val="-10"/>
        </w:rPr>
        <w:t xml:space="preserve"> </w:t>
      </w:r>
      <w:r>
        <w:rPr>
          <w:i/>
        </w:rPr>
        <w:t>Dan</w:t>
      </w:r>
      <w:r>
        <w:rPr>
          <w:i/>
          <w:spacing w:val="-3"/>
        </w:rPr>
        <w:t xml:space="preserve"> </w:t>
      </w:r>
      <w:r>
        <w:rPr>
          <w:i/>
        </w:rPr>
        <w:t>Syariah</w:t>
      </w:r>
      <w:r>
        <w:t>,</w:t>
      </w:r>
      <w:r>
        <w:rPr>
          <w:spacing w:val="-9"/>
        </w:rPr>
        <w:t xml:space="preserve"> </w:t>
      </w:r>
      <w:r>
        <w:rPr>
          <w:i/>
        </w:rPr>
        <w:t>12</w:t>
      </w:r>
      <w:r>
        <w:t>(1),</w:t>
      </w:r>
      <w:r>
        <w:rPr>
          <w:spacing w:val="-12"/>
        </w:rPr>
        <w:t xml:space="preserve"> </w:t>
      </w:r>
      <w:r>
        <w:t>86–103.</w:t>
      </w:r>
      <w:r>
        <w:rPr>
          <w:spacing w:val="-7"/>
        </w:rPr>
        <w:t xml:space="preserve"> </w:t>
      </w:r>
      <w:r>
        <w:t xml:space="preserve">Scopus. </w:t>
      </w:r>
      <w:r>
        <w:rPr>
          <w:spacing w:val="-2"/>
        </w:rPr>
        <w:t>https://doi.org/10.18860/j.v12i1.12112</w:t>
      </w:r>
    </w:p>
    <w:p w:rsidR="00143FDB" w:rsidRDefault="006A44E3">
      <w:pPr>
        <w:pStyle w:val="BodyText"/>
        <w:spacing w:before="19" w:line="278" w:lineRule="auto"/>
        <w:ind w:left="833" w:right="53" w:hanging="720"/>
      </w:pPr>
      <w:r>
        <w:t>Ningsih,</w:t>
      </w:r>
      <w:r>
        <w:rPr>
          <w:spacing w:val="-12"/>
        </w:rPr>
        <w:t xml:space="preserve"> </w:t>
      </w:r>
      <w:r>
        <w:t>A.</w:t>
      </w:r>
      <w:r>
        <w:rPr>
          <w:spacing w:val="-12"/>
        </w:rPr>
        <w:t xml:space="preserve"> </w:t>
      </w:r>
      <w:r>
        <w:t>S.,</w:t>
      </w:r>
      <w:r>
        <w:rPr>
          <w:spacing w:val="-12"/>
        </w:rPr>
        <w:t xml:space="preserve"> </w:t>
      </w:r>
      <w:r>
        <w:t>Fidiyani,</w:t>
      </w:r>
      <w:r>
        <w:rPr>
          <w:spacing w:val="10"/>
        </w:rPr>
        <w:t xml:space="preserve"> </w:t>
      </w:r>
      <w:r>
        <w:t>R.,</w:t>
      </w:r>
      <w:r>
        <w:rPr>
          <w:spacing w:val="-14"/>
        </w:rPr>
        <w:t xml:space="preserve"> </w:t>
      </w:r>
      <w:r>
        <w:t>&amp;</w:t>
      </w:r>
      <w:r>
        <w:rPr>
          <w:spacing w:val="-13"/>
        </w:rPr>
        <w:t xml:space="preserve"> </w:t>
      </w:r>
      <w:r>
        <w:t>Wardhani,</w:t>
      </w:r>
      <w:r>
        <w:rPr>
          <w:spacing w:val="-11"/>
        </w:rPr>
        <w:t xml:space="preserve"> </w:t>
      </w:r>
      <w:r>
        <w:t>H.</w:t>
      </w:r>
      <w:r>
        <w:rPr>
          <w:spacing w:val="-12"/>
        </w:rPr>
        <w:t xml:space="preserve"> </w:t>
      </w:r>
      <w:r>
        <w:t>P.</w:t>
      </w:r>
      <w:r>
        <w:rPr>
          <w:spacing w:val="-12"/>
        </w:rPr>
        <w:t xml:space="preserve"> </w:t>
      </w:r>
      <w:r>
        <w:t>(2024).</w:t>
      </w:r>
      <w:r>
        <w:rPr>
          <w:spacing w:val="-14"/>
        </w:rPr>
        <w:t xml:space="preserve"> </w:t>
      </w:r>
      <w:r>
        <w:t>Mortgage</w:t>
      </w:r>
      <w:r>
        <w:rPr>
          <w:spacing w:val="-2"/>
        </w:rPr>
        <w:t xml:space="preserve"> </w:t>
      </w:r>
      <w:r>
        <w:t>Rights</w:t>
      </w:r>
      <w:r>
        <w:rPr>
          <w:spacing w:val="-4"/>
        </w:rPr>
        <w:t xml:space="preserve"> </w:t>
      </w:r>
      <w:r>
        <w:t>for</w:t>
      </w:r>
      <w:r>
        <w:rPr>
          <w:spacing w:val="-13"/>
        </w:rPr>
        <w:t xml:space="preserve"> </w:t>
      </w:r>
      <w:r>
        <w:t>The</w:t>
      </w:r>
      <w:r>
        <w:rPr>
          <w:spacing w:val="-11"/>
        </w:rPr>
        <w:t xml:space="preserve"> </w:t>
      </w:r>
      <w:r>
        <w:t>Sharia</w:t>
      </w:r>
      <w:r>
        <w:rPr>
          <w:spacing w:val="-2"/>
        </w:rPr>
        <w:t xml:space="preserve"> </w:t>
      </w:r>
      <w:r>
        <w:t>Banking</w:t>
      </w:r>
      <w:r>
        <w:rPr>
          <w:spacing w:val="-12"/>
        </w:rPr>
        <w:t xml:space="preserve"> </w:t>
      </w:r>
      <w:r>
        <w:t xml:space="preserve">Murābaḥah Contract: Its Position and Application. </w:t>
      </w:r>
      <w:r>
        <w:rPr>
          <w:i/>
        </w:rPr>
        <w:t>Justicia Islamica</w:t>
      </w:r>
      <w:r>
        <w:t xml:space="preserve">, </w:t>
      </w:r>
      <w:r>
        <w:rPr>
          <w:i/>
        </w:rPr>
        <w:t>21</w:t>
      </w:r>
      <w:r>
        <w:t xml:space="preserve">(2), 423–446. Scopus. </w:t>
      </w:r>
      <w:r>
        <w:rPr>
          <w:spacing w:val="-2"/>
        </w:rPr>
        <w:t>https://doi.org/10.21154/justicia.v21i2.9626</w:t>
      </w:r>
    </w:p>
    <w:p w:rsidR="00143FDB" w:rsidRDefault="006A44E3">
      <w:pPr>
        <w:spacing w:line="271" w:lineRule="auto"/>
        <w:ind w:left="833" w:right="80" w:hanging="720"/>
        <w:jc w:val="both"/>
      </w:pPr>
      <w:r>
        <w:t>Noor,</w:t>
      </w:r>
      <w:r>
        <w:rPr>
          <w:spacing w:val="-9"/>
        </w:rPr>
        <w:t xml:space="preserve"> </w:t>
      </w:r>
      <w:r>
        <w:t>A.</w:t>
      </w:r>
      <w:r>
        <w:rPr>
          <w:spacing w:val="-7"/>
        </w:rPr>
        <w:t xml:space="preserve"> </w:t>
      </w:r>
      <w:r>
        <w:t>(2021).</w:t>
      </w:r>
      <w:r>
        <w:rPr>
          <w:spacing w:val="14"/>
        </w:rPr>
        <w:t xml:space="preserve"> </w:t>
      </w:r>
      <w:r>
        <w:t>Case</w:t>
      </w:r>
      <w:r>
        <w:rPr>
          <w:spacing w:val="-6"/>
        </w:rPr>
        <w:t xml:space="preserve"> </w:t>
      </w:r>
      <w:r>
        <w:t>Settlement</w:t>
      </w:r>
      <w:r>
        <w:rPr>
          <w:spacing w:val="-7"/>
        </w:rPr>
        <w:t xml:space="preserve"> </w:t>
      </w:r>
      <w:r>
        <w:t>of Nominee</w:t>
      </w:r>
      <w:r>
        <w:rPr>
          <w:spacing w:val="-3"/>
        </w:rPr>
        <w:t xml:space="preserve"> </w:t>
      </w:r>
      <w:r>
        <w:t>Agreement</w:t>
      </w:r>
      <w:r>
        <w:rPr>
          <w:spacing w:val="-6"/>
        </w:rPr>
        <w:t xml:space="preserve"> </w:t>
      </w:r>
      <w:r>
        <w:t>as</w:t>
      </w:r>
      <w:r>
        <w:rPr>
          <w:spacing w:val="-9"/>
        </w:rPr>
        <w:t xml:space="preserve"> </w:t>
      </w:r>
      <w:r>
        <w:t>A</w:t>
      </w:r>
      <w:r>
        <w:rPr>
          <w:spacing w:val="-8"/>
        </w:rPr>
        <w:t xml:space="preserve"> </w:t>
      </w:r>
      <w:r>
        <w:t>Mode</w:t>
      </w:r>
      <w:r>
        <w:rPr>
          <w:spacing w:val="-3"/>
        </w:rPr>
        <w:t xml:space="preserve"> </w:t>
      </w:r>
      <w:r>
        <w:t>of</w:t>
      </w:r>
      <w:r>
        <w:rPr>
          <w:spacing w:val="-2"/>
        </w:rPr>
        <w:t xml:space="preserve"> </w:t>
      </w:r>
      <w:r>
        <w:t>Land</w:t>
      </w:r>
      <w:r>
        <w:rPr>
          <w:spacing w:val="-6"/>
        </w:rPr>
        <w:t xml:space="preserve"> </w:t>
      </w:r>
      <w:r>
        <w:t>Tenure</w:t>
      </w:r>
      <w:r>
        <w:rPr>
          <w:spacing w:val="-3"/>
        </w:rPr>
        <w:t xml:space="preserve"> </w:t>
      </w:r>
      <w:r>
        <w:t>for</w:t>
      </w:r>
      <w:r>
        <w:rPr>
          <w:spacing w:val="-2"/>
        </w:rPr>
        <w:t xml:space="preserve"> </w:t>
      </w:r>
      <w:r>
        <w:t>Foreign</w:t>
      </w:r>
      <w:r>
        <w:rPr>
          <w:spacing w:val="-5"/>
        </w:rPr>
        <w:t xml:space="preserve"> </w:t>
      </w:r>
      <w:r>
        <w:t>Nationals in</w:t>
      </w:r>
      <w:r>
        <w:rPr>
          <w:spacing w:val="40"/>
        </w:rPr>
        <w:t xml:space="preserve"> </w:t>
      </w:r>
      <w:r>
        <w:t>Indonesia.</w:t>
      </w:r>
      <w:r>
        <w:rPr>
          <w:spacing w:val="40"/>
        </w:rPr>
        <w:t xml:space="preserve"> </w:t>
      </w:r>
      <w:r>
        <w:rPr>
          <w:i/>
        </w:rPr>
        <w:t>International Journal of Criminal Justice Sciences</w:t>
      </w:r>
      <w:r>
        <w:t xml:space="preserve">, </w:t>
      </w:r>
      <w:r>
        <w:rPr>
          <w:i/>
        </w:rPr>
        <w:t>16</w:t>
      </w:r>
      <w:r>
        <w:t>(2), 177–190. Scopus.</w:t>
      </w:r>
    </w:p>
    <w:p w:rsidR="00143FDB" w:rsidRDefault="006A44E3">
      <w:pPr>
        <w:pStyle w:val="BodyText"/>
        <w:spacing w:before="3" w:line="278" w:lineRule="auto"/>
        <w:ind w:left="833" w:right="53" w:hanging="720"/>
      </w:pPr>
      <w:r>
        <w:t xml:space="preserve">Ntsoane, L. S. (2018). The registration of special notarial bonds under the security by means of movable property act and the publicity principle: Lessons from developments in Belgium. </w:t>
      </w:r>
      <w:r>
        <w:rPr>
          <w:i/>
        </w:rPr>
        <w:t>Potchefstroom Electronic Law Journal</w:t>
      </w:r>
      <w:r>
        <w:t xml:space="preserve">, </w:t>
      </w:r>
      <w:r>
        <w:rPr>
          <w:i/>
        </w:rPr>
        <w:t>21</w:t>
      </w:r>
      <w:r>
        <w:t>, 1–24. Scopus. https://doi.org</w:t>
      </w:r>
      <w:r>
        <w:t>/10.17159/1727-3781/2018/v21i0a2389</w:t>
      </w:r>
    </w:p>
    <w:p w:rsidR="00143FDB" w:rsidRDefault="006A44E3">
      <w:pPr>
        <w:pStyle w:val="BodyText"/>
        <w:spacing w:line="278" w:lineRule="auto"/>
        <w:ind w:left="833" w:right="53" w:hanging="720"/>
      </w:pPr>
      <w:r>
        <w:t>Nuer, K., Yuliandri,</w:t>
      </w:r>
      <w:r>
        <w:rPr>
          <w:spacing w:val="38"/>
        </w:rPr>
        <w:t xml:space="preserve"> </w:t>
      </w:r>
      <w:r>
        <w:t>P., Hasan, F., &amp; Suharizal, P. (2021). Regulation</w:t>
      </w:r>
      <w:r>
        <w:rPr>
          <w:spacing w:val="36"/>
        </w:rPr>
        <w:t xml:space="preserve"> </w:t>
      </w:r>
      <w:r>
        <w:t>of Opposed Parties in a Conflict of Authority Between State Institutions</w:t>
      </w:r>
      <w:r>
        <w:rPr>
          <w:spacing w:val="35"/>
        </w:rPr>
        <w:t xml:space="preserve"> </w:t>
      </w:r>
      <w:r>
        <w:t>and The Constitutional</w:t>
      </w:r>
      <w:r>
        <w:rPr>
          <w:spacing w:val="36"/>
        </w:rPr>
        <w:t xml:space="preserve"> </w:t>
      </w:r>
      <w:r>
        <w:t xml:space="preserve">Court of Indonesia. </w:t>
      </w:r>
      <w:r>
        <w:rPr>
          <w:i/>
        </w:rPr>
        <w:t>Journal of Legal, Ethical and Reg</w:t>
      </w:r>
      <w:r>
        <w:rPr>
          <w:i/>
        </w:rPr>
        <w:t>ulatory Issues</w:t>
      </w:r>
      <w:r>
        <w:t xml:space="preserve">, </w:t>
      </w:r>
      <w:r>
        <w:rPr>
          <w:i/>
        </w:rPr>
        <w:t>24</w:t>
      </w:r>
      <w:r>
        <w:t>(2), 1–9. Scopus.</w:t>
      </w:r>
    </w:p>
    <w:p w:rsidR="00143FDB" w:rsidRDefault="006A44E3">
      <w:pPr>
        <w:spacing w:line="278" w:lineRule="auto"/>
        <w:ind w:left="833" w:right="67" w:hanging="720"/>
        <w:jc w:val="both"/>
      </w:pPr>
      <w:r>
        <w:t>Nugrahenti,</w:t>
      </w:r>
      <w:r>
        <w:rPr>
          <w:spacing w:val="-9"/>
        </w:rPr>
        <w:t xml:space="preserve"> </w:t>
      </w:r>
      <w:r>
        <w:t>M.</w:t>
      </w:r>
      <w:r>
        <w:rPr>
          <w:spacing w:val="-7"/>
        </w:rPr>
        <w:t xml:space="preserve"> </w:t>
      </w:r>
      <w:r>
        <w:t>C.,</w:t>
      </w:r>
      <w:r>
        <w:rPr>
          <w:spacing w:val="-7"/>
        </w:rPr>
        <w:t xml:space="preserve"> </w:t>
      </w:r>
      <w:r>
        <w:t>&amp;</w:t>
      </w:r>
      <w:r>
        <w:rPr>
          <w:spacing w:val="-8"/>
        </w:rPr>
        <w:t xml:space="preserve"> </w:t>
      </w:r>
      <w:r>
        <w:t>Hernawan,</w:t>
      </w:r>
      <w:r>
        <w:rPr>
          <w:spacing w:val="-9"/>
        </w:rPr>
        <w:t xml:space="preserve"> </w:t>
      </w:r>
      <w:r>
        <w:t>A.</w:t>
      </w:r>
      <w:r>
        <w:rPr>
          <w:spacing w:val="-7"/>
        </w:rPr>
        <w:t xml:space="preserve"> </w:t>
      </w:r>
      <w:r>
        <w:t>(2024).</w:t>
      </w:r>
      <w:r>
        <w:rPr>
          <w:spacing w:val="-3"/>
        </w:rPr>
        <w:t xml:space="preserve"> </w:t>
      </w:r>
      <w:r>
        <w:t>Good</w:t>
      </w:r>
      <w:r>
        <w:rPr>
          <w:spacing w:val="-3"/>
        </w:rPr>
        <w:t xml:space="preserve"> </w:t>
      </w:r>
      <w:r>
        <w:t>faith</w:t>
      </w:r>
      <w:r>
        <w:rPr>
          <w:spacing w:val="-3"/>
        </w:rPr>
        <w:t xml:space="preserve"> </w:t>
      </w:r>
      <w:r>
        <w:t>principle</w:t>
      </w:r>
      <w:r>
        <w:rPr>
          <w:spacing w:val="36"/>
        </w:rPr>
        <w:t xml:space="preserve"> </w:t>
      </w:r>
      <w:r>
        <w:t>in Indonesian</w:t>
      </w:r>
      <w:r>
        <w:rPr>
          <w:spacing w:val="-2"/>
        </w:rPr>
        <w:t xml:space="preserve"> </w:t>
      </w:r>
      <w:r>
        <w:t>contract</w:t>
      </w:r>
      <w:r>
        <w:rPr>
          <w:spacing w:val="-7"/>
        </w:rPr>
        <w:t xml:space="preserve"> </w:t>
      </w:r>
      <w:r>
        <w:t>law:</w:t>
      </w:r>
      <w:r>
        <w:rPr>
          <w:spacing w:val="-2"/>
        </w:rPr>
        <w:t xml:space="preserve"> </w:t>
      </w:r>
      <w:r>
        <w:t>How</w:t>
      </w:r>
      <w:r>
        <w:rPr>
          <w:spacing w:val="-10"/>
        </w:rPr>
        <w:t xml:space="preserve"> </w:t>
      </w:r>
      <w:r>
        <w:t>to</w:t>
      </w:r>
      <w:r>
        <w:rPr>
          <w:spacing w:val="-7"/>
        </w:rPr>
        <w:t xml:space="preserve"> </w:t>
      </w:r>
      <w:r>
        <w:t>set</w:t>
      </w:r>
      <w:r>
        <w:rPr>
          <w:spacing w:val="-13"/>
        </w:rPr>
        <w:t xml:space="preserve"> </w:t>
      </w:r>
      <w:r>
        <w:t>the definition</w:t>
      </w:r>
      <w:r>
        <w:rPr>
          <w:spacing w:val="36"/>
        </w:rPr>
        <w:t xml:space="preserve"> </w:t>
      </w:r>
      <w:r>
        <w:t>and its</w:t>
      </w:r>
      <w:r>
        <w:rPr>
          <w:spacing w:val="37"/>
        </w:rPr>
        <w:t xml:space="preserve"> </w:t>
      </w:r>
      <w:r>
        <w:t xml:space="preserve">benchmarks. </w:t>
      </w:r>
      <w:r>
        <w:rPr>
          <w:i/>
        </w:rPr>
        <w:t>Journal of Infrastructure, Policy and Development</w:t>
      </w:r>
      <w:r>
        <w:t xml:space="preserve">, </w:t>
      </w:r>
      <w:r>
        <w:rPr>
          <w:i/>
        </w:rPr>
        <w:t>8</w:t>
      </w:r>
      <w:r>
        <w:t xml:space="preserve">(10). Scopus. </w:t>
      </w:r>
      <w:r>
        <w:rPr>
          <w:spacing w:val="-2"/>
        </w:rPr>
        <w:t>https://doi.org/10.24294/jipd.v8i10.7358</w:t>
      </w:r>
    </w:p>
    <w:p w:rsidR="00143FDB" w:rsidRDefault="006A44E3">
      <w:pPr>
        <w:pStyle w:val="BodyText"/>
        <w:spacing w:line="276" w:lineRule="auto"/>
        <w:ind w:left="833" w:right="65" w:hanging="720"/>
      </w:pPr>
      <w:r>
        <w:t>Nugroho,</w:t>
      </w:r>
      <w:r>
        <w:rPr>
          <w:spacing w:val="-12"/>
        </w:rPr>
        <w:t xml:space="preserve"> </w:t>
      </w:r>
      <w:r>
        <w:t>E.</w:t>
      </w:r>
      <w:r>
        <w:rPr>
          <w:spacing w:val="-12"/>
        </w:rPr>
        <w:t xml:space="preserve"> </w:t>
      </w:r>
      <w:r>
        <w:t>R.</w:t>
      </w:r>
      <w:r>
        <w:rPr>
          <w:spacing w:val="-12"/>
        </w:rPr>
        <w:t xml:space="preserve"> </w:t>
      </w:r>
      <w:r>
        <w:t>(2023).</w:t>
      </w:r>
      <w:r>
        <w:rPr>
          <w:spacing w:val="-14"/>
        </w:rPr>
        <w:t xml:space="preserve"> </w:t>
      </w:r>
      <w:r>
        <w:t>The</w:t>
      </w:r>
      <w:r>
        <w:rPr>
          <w:spacing w:val="-13"/>
        </w:rPr>
        <w:t xml:space="preserve"> </w:t>
      </w:r>
      <w:r>
        <w:t>Application of</w:t>
      </w:r>
      <w:r>
        <w:rPr>
          <w:spacing w:val="-13"/>
        </w:rPr>
        <w:t xml:space="preserve"> </w:t>
      </w:r>
      <w:r>
        <w:t>Transparent</w:t>
      </w:r>
      <w:r>
        <w:rPr>
          <w:spacing w:val="-12"/>
        </w:rPr>
        <w:t xml:space="preserve"> </w:t>
      </w:r>
      <w:r>
        <w:t>and</w:t>
      </w:r>
      <w:r>
        <w:rPr>
          <w:spacing w:val="-11"/>
        </w:rPr>
        <w:t xml:space="preserve"> </w:t>
      </w:r>
      <w:r>
        <w:t>Immediate</w:t>
      </w:r>
      <w:r>
        <w:rPr>
          <w:spacing w:val="-2"/>
        </w:rPr>
        <w:t xml:space="preserve"> </w:t>
      </w:r>
      <w:r>
        <w:t>Principles in</w:t>
      </w:r>
      <w:r>
        <w:rPr>
          <w:spacing w:val="-12"/>
        </w:rPr>
        <w:t xml:space="preserve"> </w:t>
      </w:r>
      <w:r>
        <w:t>Land</w:t>
      </w:r>
      <w:r>
        <w:rPr>
          <w:spacing w:val="-12"/>
        </w:rPr>
        <w:t xml:space="preserve"> </w:t>
      </w:r>
      <w:r>
        <w:t>Sale</w:t>
      </w:r>
      <w:r>
        <w:rPr>
          <w:spacing w:val="-11"/>
        </w:rPr>
        <w:t xml:space="preserve"> </w:t>
      </w:r>
      <w:r>
        <w:t>and</w:t>
      </w:r>
      <w:r>
        <w:rPr>
          <w:spacing w:val="-11"/>
        </w:rPr>
        <w:t xml:space="preserve"> </w:t>
      </w:r>
      <w:r>
        <w:t>Purchase Agreement (Study Of Court Decision Number 50/Pdt.G/2022/PN.Smn; 102/PDT/2022/PT.YYK, and 89/PDT.G/2022/PN KLN)</w:t>
      </w:r>
      <w:r>
        <w:t xml:space="preserve">. </w:t>
      </w:r>
      <w:r>
        <w:rPr>
          <w:i/>
        </w:rPr>
        <w:t>Prophetic Law Review</w:t>
      </w:r>
      <w:r>
        <w:t xml:space="preserve">, </w:t>
      </w:r>
      <w:r>
        <w:rPr>
          <w:i/>
        </w:rPr>
        <w:t>5</w:t>
      </w:r>
      <w:r>
        <w:t xml:space="preserve">(2), 207–223. Scopus. </w:t>
      </w:r>
      <w:r>
        <w:rPr>
          <w:spacing w:val="-2"/>
        </w:rPr>
        <w:t>https://doi.org/10.20885/PLR.vol5.iss2.art4</w:t>
      </w:r>
    </w:p>
    <w:p w:rsidR="00143FDB" w:rsidRDefault="006A44E3">
      <w:pPr>
        <w:pStyle w:val="BodyText"/>
        <w:spacing w:line="278" w:lineRule="auto"/>
        <w:ind w:left="833" w:right="61" w:hanging="720"/>
      </w:pPr>
      <w:r>
        <w:t xml:space="preserve">Pamungkas, L. S. M. (2021). Politik Hukum Dalam Pelaksanaan Jaminan Fidusia Berdasarkan Undang- Undang Nomor 4 Tahun 1999. </w:t>
      </w:r>
      <w:r>
        <w:rPr>
          <w:i/>
        </w:rPr>
        <w:t>Khazanah Hukum</w:t>
      </w:r>
      <w:r>
        <w:t xml:space="preserve">, </w:t>
      </w:r>
      <w:r>
        <w:rPr>
          <w:i/>
        </w:rPr>
        <w:t>3</w:t>
      </w:r>
      <w:r>
        <w:t xml:space="preserve">(1), 26–33. Scopus. </w:t>
      </w:r>
      <w:r>
        <w:rPr>
          <w:spacing w:val="-2"/>
        </w:rPr>
        <w:t>https</w:t>
      </w:r>
      <w:r>
        <w:rPr>
          <w:spacing w:val="-2"/>
        </w:rPr>
        <w:t>://doi.org/10.15575/kh.v3i1.7678</w:t>
      </w:r>
    </w:p>
    <w:p w:rsidR="00143FDB" w:rsidRDefault="006A44E3">
      <w:pPr>
        <w:pStyle w:val="BodyText"/>
        <w:spacing w:line="278" w:lineRule="auto"/>
        <w:ind w:left="833" w:right="66" w:hanging="720"/>
      </w:pPr>
      <w:r>
        <w:t>Pramono, H.</w:t>
      </w:r>
      <w:r>
        <w:rPr>
          <w:spacing w:val="-1"/>
        </w:rPr>
        <w:t xml:space="preserve"> </w:t>
      </w:r>
      <w:r>
        <w:t>(2023). Legal Protection ffor Creditors to Ensure the Fulfillment</w:t>
      </w:r>
      <w:r>
        <w:rPr>
          <w:spacing w:val="40"/>
        </w:rPr>
        <w:t xml:space="preserve"> </w:t>
      </w:r>
      <w:r>
        <w:t xml:space="preserve">of State-Owned Enterprises (Persero)’S Liabilities in the Indonesian Legal System. </w:t>
      </w:r>
      <w:r>
        <w:rPr>
          <w:i/>
        </w:rPr>
        <w:t>Prophetic Law Review</w:t>
      </w:r>
      <w:r>
        <w:t xml:space="preserve">, </w:t>
      </w:r>
      <w:r>
        <w:rPr>
          <w:i/>
        </w:rPr>
        <w:t>5</w:t>
      </w:r>
      <w:r>
        <w:t>(2), 129–158. Scopus. https://doi.org/10.20885/PLR.vol5.iss2.art1</w:t>
      </w:r>
    </w:p>
    <w:p w:rsidR="00143FDB" w:rsidRDefault="006A44E3">
      <w:pPr>
        <w:pStyle w:val="BodyText"/>
        <w:spacing w:line="285" w:lineRule="auto"/>
        <w:ind w:left="833" w:right="67" w:hanging="720"/>
      </w:pPr>
      <w:r>
        <w:t>Ramos</w:t>
      </w:r>
      <w:r>
        <w:rPr>
          <w:spacing w:val="-7"/>
        </w:rPr>
        <w:t xml:space="preserve"> </w:t>
      </w:r>
      <w:r>
        <w:t>Muñoz, D.,</w:t>
      </w:r>
      <w:r>
        <w:rPr>
          <w:spacing w:val="-5"/>
        </w:rPr>
        <w:t xml:space="preserve"> </w:t>
      </w:r>
      <w:r>
        <w:t>&amp;</w:t>
      </w:r>
      <w:r>
        <w:rPr>
          <w:spacing w:val="-6"/>
        </w:rPr>
        <w:t xml:space="preserve"> </w:t>
      </w:r>
      <w:r>
        <w:t>Argachal,</w:t>
      </w:r>
      <w:r>
        <w:rPr>
          <w:spacing w:val="-6"/>
        </w:rPr>
        <w:t xml:space="preserve"> </w:t>
      </w:r>
      <w:r>
        <w:t>C. B.</w:t>
      </w:r>
      <w:r>
        <w:rPr>
          <w:spacing w:val="-4"/>
        </w:rPr>
        <w:t xml:space="preserve"> </w:t>
      </w:r>
      <w:r>
        <w:t>(2019). International insolvency issues of</w:t>
      </w:r>
      <w:r>
        <w:rPr>
          <w:spacing w:val="-1"/>
        </w:rPr>
        <w:t xml:space="preserve"> </w:t>
      </w:r>
      <w:r>
        <w:t>delocalized structures</w:t>
      </w:r>
      <w:r>
        <w:rPr>
          <w:spacing w:val="-10"/>
        </w:rPr>
        <w:t xml:space="preserve"> </w:t>
      </w:r>
      <w:r>
        <w:t>with special</w:t>
      </w:r>
      <w:r>
        <w:rPr>
          <w:spacing w:val="80"/>
        </w:rPr>
        <w:t xml:space="preserve"> </w:t>
      </w:r>
      <w:r>
        <w:t>purpose</w:t>
      </w:r>
      <w:r>
        <w:rPr>
          <w:spacing w:val="80"/>
          <w:w w:val="150"/>
        </w:rPr>
        <w:t xml:space="preserve"> </w:t>
      </w:r>
      <w:r>
        <w:t>vehicles</w:t>
      </w:r>
      <w:r>
        <w:rPr>
          <w:spacing w:val="80"/>
          <w:w w:val="150"/>
        </w:rPr>
        <w:t xml:space="preserve"> </w:t>
      </w:r>
      <w:r>
        <w:t>(SPVs).</w:t>
      </w:r>
      <w:r>
        <w:rPr>
          <w:spacing w:val="72"/>
        </w:rPr>
        <w:t xml:space="preserve"> </w:t>
      </w:r>
      <w:r>
        <w:rPr>
          <w:i/>
        </w:rPr>
        <w:t>Capital</w:t>
      </w:r>
      <w:r>
        <w:rPr>
          <w:i/>
          <w:spacing w:val="75"/>
        </w:rPr>
        <w:t xml:space="preserve"> </w:t>
      </w:r>
      <w:r>
        <w:rPr>
          <w:i/>
        </w:rPr>
        <w:t>Markets</w:t>
      </w:r>
      <w:r>
        <w:rPr>
          <w:i/>
          <w:spacing w:val="40"/>
        </w:rPr>
        <w:t xml:space="preserve"> </w:t>
      </w:r>
      <w:r>
        <w:rPr>
          <w:i/>
        </w:rPr>
        <w:t>Law</w:t>
      </w:r>
      <w:r>
        <w:rPr>
          <w:i/>
          <w:spacing w:val="80"/>
        </w:rPr>
        <w:t xml:space="preserve"> </w:t>
      </w:r>
      <w:r>
        <w:rPr>
          <w:i/>
        </w:rPr>
        <w:t>Journal</w:t>
      </w:r>
      <w:r>
        <w:t>,</w:t>
      </w:r>
      <w:r>
        <w:rPr>
          <w:spacing w:val="40"/>
        </w:rPr>
        <w:t xml:space="preserve"> </w:t>
      </w:r>
      <w:r>
        <w:rPr>
          <w:i/>
        </w:rPr>
        <w:t>14</w:t>
      </w:r>
      <w:r>
        <w:t>(3),</w:t>
      </w:r>
      <w:r>
        <w:rPr>
          <w:spacing w:val="80"/>
        </w:rPr>
        <w:t xml:space="preserve"> </w:t>
      </w:r>
      <w:r>
        <w:t>335–363.</w:t>
      </w:r>
      <w:r>
        <w:rPr>
          <w:spacing w:val="80"/>
          <w:w w:val="150"/>
        </w:rPr>
        <w:t xml:space="preserve"> </w:t>
      </w:r>
      <w:r>
        <w:t>Scopus</w:t>
      </w:r>
      <w:r>
        <w:t>.</w:t>
      </w:r>
    </w:p>
    <w:p w:rsidR="00143FDB" w:rsidRDefault="00143FDB">
      <w:pPr>
        <w:pStyle w:val="BodyText"/>
        <w:spacing w:line="285" w:lineRule="auto"/>
        <w:sectPr w:rsidR="00143FDB">
          <w:pgSz w:w="11920" w:h="16860"/>
          <w:pgMar w:top="1460" w:right="1133" w:bottom="2400" w:left="1133" w:header="282" w:footer="2209" w:gutter="0"/>
          <w:cols w:space="720"/>
        </w:sectPr>
      </w:pPr>
    </w:p>
    <w:p w:rsidR="00143FDB" w:rsidRDefault="006A44E3">
      <w:pPr>
        <w:pStyle w:val="BodyText"/>
        <w:spacing w:before="81"/>
        <w:ind w:left="833"/>
        <w:jc w:val="left"/>
      </w:pPr>
      <w:r>
        <w:rPr>
          <w:spacing w:val="-2"/>
        </w:rPr>
        <w:lastRenderedPageBreak/>
        <w:t>https://doi.org/10.1093/cmlj/kmz008</w:t>
      </w:r>
    </w:p>
    <w:p w:rsidR="00143FDB" w:rsidRDefault="006A44E3">
      <w:pPr>
        <w:spacing w:before="30" w:line="273" w:lineRule="auto"/>
        <w:ind w:left="833" w:right="58" w:hanging="720"/>
        <w:jc w:val="both"/>
      </w:pPr>
      <w:r>
        <w:t>Res, R. (2021). Implementation of Parate Executie Object of Liability.</w:t>
      </w:r>
      <w:r>
        <w:rPr>
          <w:spacing w:val="38"/>
        </w:rPr>
        <w:t xml:space="preserve"> </w:t>
      </w:r>
      <w:r>
        <w:rPr>
          <w:i/>
        </w:rPr>
        <w:t>Journal of Human Rights, Culture and Legal System</w:t>
      </w:r>
      <w:r>
        <w:t xml:space="preserve">, </w:t>
      </w:r>
      <w:r>
        <w:rPr>
          <w:i/>
        </w:rPr>
        <w:t>1</w:t>
      </w:r>
      <w:r>
        <w:t>(1), 42–53. Scopus. https://doi.org/10.53955/jhcls.v1i1.6</w:t>
      </w:r>
    </w:p>
    <w:p w:rsidR="00143FDB" w:rsidRDefault="006A44E3">
      <w:pPr>
        <w:pStyle w:val="BodyText"/>
        <w:spacing w:before="11" w:line="278" w:lineRule="auto"/>
        <w:ind w:left="833" w:right="61" w:hanging="720"/>
      </w:pPr>
      <w:r>
        <w:t xml:space="preserve">Risal, A. (2024). Legal Protection for Debtors in Online Transactions: Evaluating Safeguards in E- Commerce. </w:t>
      </w:r>
      <w:r>
        <w:rPr>
          <w:i/>
        </w:rPr>
        <w:t>Jurnal Hukum Bisnis Bonum Commune</w:t>
      </w:r>
      <w:r>
        <w:t xml:space="preserve">, </w:t>
      </w:r>
      <w:r>
        <w:rPr>
          <w:i/>
        </w:rPr>
        <w:t>7</w:t>
      </w:r>
      <w:r>
        <w:t xml:space="preserve">(2), 176–187. Scopus. </w:t>
      </w:r>
      <w:r>
        <w:rPr>
          <w:spacing w:val="-2"/>
        </w:rPr>
        <w:t>https://doi.org/10.30996/jhbbc.v7i2.11656</w:t>
      </w:r>
    </w:p>
    <w:p w:rsidR="00143FDB" w:rsidRDefault="006A44E3">
      <w:pPr>
        <w:spacing w:line="271" w:lineRule="auto"/>
        <w:ind w:left="833" w:right="109" w:hanging="720"/>
        <w:jc w:val="both"/>
      </w:pPr>
      <w:r>
        <w:t>Sagala, E., &amp; Tampubolon, W. S. (2021). Dissent</w:t>
      </w:r>
      <w:r>
        <w:t>ers vs debtors bank promise: A review of normative juridical.</w:t>
      </w:r>
      <w:r>
        <w:rPr>
          <w:spacing w:val="40"/>
        </w:rPr>
        <w:t xml:space="preserve"> </w:t>
      </w:r>
      <w:r>
        <w:rPr>
          <w:i/>
        </w:rPr>
        <w:t>Journal of Legal, Ethical and Regulatory Issues</w:t>
      </w:r>
      <w:r>
        <w:t>,</w:t>
      </w:r>
      <w:r>
        <w:rPr>
          <w:spacing w:val="-1"/>
        </w:rPr>
        <w:t xml:space="preserve"> </w:t>
      </w:r>
      <w:r>
        <w:rPr>
          <w:i/>
        </w:rPr>
        <w:t>24</w:t>
      </w:r>
      <w:r>
        <w:t>(Special</w:t>
      </w:r>
      <w:r>
        <w:rPr>
          <w:spacing w:val="-9"/>
        </w:rPr>
        <w:t xml:space="preserve"> </w:t>
      </w:r>
      <w:r>
        <w:t>Issue 1), 1–11. Scopus.</w:t>
      </w:r>
    </w:p>
    <w:p w:rsidR="00143FDB" w:rsidRDefault="006A44E3">
      <w:pPr>
        <w:pStyle w:val="BodyText"/>
        <w:spacing w:before="3" w:line="271" w:lineRule="auto"/>
        <w:ind w:left="833" w:right="50" w:hanging="720"/>
      </w:pPr>
      <w:r>
        <w:t>Salehijam,</w:t>
      </w:r>
      <w:r>
        <w:rPr>
          <w:spacing w:val="-14"/>
        </w:rPr>
        <w:t xml:space="preserve"> </w:t>
      </w:r>
      <w:r>
        <w:t>M.</w:t>
      </w:r>
      <w:r>
        <w:rPr>
          <w:spacing w:val="-12"/>
        </w:rPr>
        <w:t xml:space="preserve"> </w:t>
      </w:r>
      <w:r>
        <w:t>(2018).</w:t>
      </w:r>
      <w:r>
        <w:rPr>
          <w:spacing w:val="-14"/>
        </w:rPr>
        <w:t xml:space="preserve"> </w:t>
      </w:r>
      <w:r>
        <w:t>The</w:t>
      </w:r>
      <w:r>
        <w:rPr>
          <w:spacing w:val="-13"/>
        </w:rPr>
        <w:t xml:space="preserve"> </w:t>
      </w:r>
      <w:r>
        <w:t>value</w:t>
      </w:r>
      <w:r>
        <w:rPr>
          <w:spacing w:val="-11"/>
        </w:rPr>
        <w:t xml:space="preserve"> </w:t>
      </w:r>
      <w:r>
        <w:t>of</w:t>
      </w:r>
      <w:r>
        <w:rPr>
          <w:spacing w:val="-11"/>
        </w:rPr>
        <w:t xml:space="preserve"> </w:t>
      </w:r>
      <w:r>
        <w:t>systematic</w:t>
      </w:r>
      <w:r>
        <w:rPr>
          <w:spacing w:val="-11"/>
        </w:rPr>
        <w:t xml:space="preserve"> </w:t>
      </w:r>
      <w:r>
        <w:t>content</w:t>
      </w:r>
      <w:r>
        <w:rPr>
          <w:spacing w:val="-13"/>
        </w:rPr>
        <w:t xml:space="preserve"> </w:t>
      </w:r>
      <w:r>
        <w:t>analysis</w:t>
      </w:r>
      <w:r>
        <w:rPr>
          <w:spacing w:val="22"/>
        </w:rPr>
        <w:t xml:space="preserve"> </w:t>
      </w:r>
      <w:r>
        <w:t>in</w:t>
      </w:r>
      <w:r>
        <w:rPr>
          <w:spacing w:val="-12"/>
        </w:rPr>
        <w:t xml:space="preserve"> </w:t>
      </w:r>
      <w:r>
        <w:t>legal</w:t>
      </w:r>
      <w:r>
        <w:rPr>
          <w:spacing w:val="-5"/>
        </w:rPr>
        <w:t xml:space="preserve"> </w:t>
      </w:r>
      <w:r>
        <w:t>research.</w:t>
      </w:r>
      <w:r>
        <w:rPr>
          <w:spacing w:val="-10"/>
        </w:rPr>
        <w:t xml:space="preserve"> </w:t>
      </w:r>
      <w:r>
        <w:rPr>
          <w:i/>
        </w:rPr>
        <w:t>Tilburg</w:t>
      </w:r>
      <w:r>
        <w:rPr>
          <w:i/>
          <w:spacing w:val="-11"/>
        </w:rPr>
        <w:t xml:space="preserve"> </w:t>
      </w:r>
      <w:r>
        <w:rPr>
          <w:i/>
        </w:rPr>
        <w:t>Law</w:t>
      </w:r>
      <w:r>
        <w:rPr>
          <w:i/>
          <w:spacing w:val="-13"/>
        </w:rPr>
        <w:t xml:space="preserve"> </w:t>
      </w:r>
      <w:r>
        <w:rPr>
          <w:i/>
        </w:rPr>
        <w:t>Review</w:t>
      </w:r>
      <w:r>
        <w:t>,</w:t>
      </w:r>
      <w:r>
        <w:rPr>
          <w:spacing w:val="-14"/>
        </w:rPr>
        <w:t xml:space="preserve"> </w:t>
      </w:r>
      <w:r>
        <w:rPr>
          <w:i/>
        </w:rPr>
        <w:t>23</w:t>
      </w:r>
      <w:r>
        <w:t>(1), 34–42. Scopus. https://doi.org/10.5334/tilr.5</w:t>
      </w:r>
    </w:p>
    <w:p w:rsidR="00143FDB" w:rsidRDefault="006A44E3">
      <w:pPr>
        <w:pStyle w:val="BodyText"/>
        <w:spacing w:before="14" w:line="271" w:lineRule="auto"/>
        <w:ind w:left="833" w:right="61" w:hanging="720"/>
      </w:pPr>
      <w:r>
        <w:t>Sieber-Gasser,</w:t>
      </w:r>
      <w:r>
        <w:rPr>
          <w:spacing w:val="-3"/>
        </w:rPr>
        <w:t xml:space="preserve"> </w:t>
      </w:r>
      <w:r>
        <w:t>C. (2021). Flexibility</w:t>
      </w:r>
      <w:r>
        <w:rPr>
          <w:spacing w:val="34"/>
        </w:rPr>
        <w:t xml:space="preserve"> </w:t>
      </w:r>
      <w:r>
        <w:t>in International Economic Law</w:t>
      </w:r>
      <w:r>
        <w:rPr>
          <w:spacing w:val="-4"/>
        </w:rPr>
        <w:t xml:space="preserve"> </w:t>
      </w:r>
      <w:r>
        <w:t>vs. Pacta</w:t>
      </w:r>
      <w:r>
        <w:rPr>
          <w:spacing w:val="-3"/>
        </w:rPr>
        <w:t xml:space="preserve"> </w:t>
      </w:r>
      <w:r>
        <w:t>Sunt</w:t>
      </w:r>
      <w:r>
        <w:rPr>
          <w:spacing w:val="-1"/>
        </w:rPr>
        <w:t xml:space="preserve"> </w:t>
      </w:r>
      <w:r>
        <w:t xml:space="preserve">Servanda: Maintaining Legitimacy Over Time. In </w:t>
      </w:r>
      <w:r>
        <w:rPr>
          <w:i/>
        </w:rPr>
        <w:t>Econ. Anal.</w:t>
      </w:r>
      <w:r>
        <w:rPr>
          <w:i/>
          <w:spacing w:val="-2"/>
        </w:rPr>
        <w:t xml:space="preserve"> </w:t>
      </w:r>
      <w:r>
        <w:rPr>
          <w:i/>
        </w:rPr>
        <w:t>Law. Eur. Leg.</w:t>
      </w:r>
      <w:r>
        <w:rPr>
          <w:i/>
          <w:spacing w:val="-7"/>
        </w:rPr>
        <w:t xml:space="preserve"> </w:t>
      </w:r>
      <w:r>
        <w:rPr>
          <w:i/>
        </w:rPr>
        <w:t xml:space="preserve">Scholarsh. </w:t>
      </w:r>
      <w:r>
        <w:t>(Vol. 10,</w:t>
      </w:r>
      <w:r>
        <w:rPr>
          <w:spacing w:val="-1"/>
        </w:rPr>
        <w:t xml:space="preserve"> </w:t>
      </w:r>
      <w:r>
        <w:t>pp. 201–220). Springer Natu</w:t>
      </w:r>
      <w:r>
        <w:t>re; Scopus. https://doi.org/10.1007/978-3-030-69154-7_9</w:t>
      </w:r>
    </w:p>
    <w:p w:rsidR="00143FDB" w:rsidRDefault="006A44E3">
      <w:pPr>
        <w:pStyle w:val="BodyText"/>
        <w:spacing w:before="14" w:line="276" w:lineRule="auto"/>
        <w:ind w:left="833" w:right="57" w:hanging="720"/>
      </w:pPr>
      <w:r>
        <w:t>Sinaga, N. A.,</w:t>
      </w:r>
      <w:r>
        <w:rPr>
          <w:spacing w:val="-1"/>
        </w:rPr>
        <w:t xml:space="preserve"> </w:t>
      </w:r>
      <w:r>
        <w:t>Nurlinda, I., &amp; Yamin, M. (2024). From the standpoint of progressive law, the idea of legal protection</w:t>
      </w:r>
      <w:r>
        <w:rPr>
          <w:spacing w:val="-9"/>
        </w:rPr>
        <w:t xml:space="preserve"> </w:t>
      </w:r>
      <w:r>
        <w:t>for</w:t>
      </w:r>
      <w:r>
        <w:rPr>
          <w:spacing w:val="-4"/>
        </w:rPr>
        <w:t xml:space="preserve"> </w:t>
      </w:r>
      <w:r>
        <w:t>land deed</w:t>
      </w:r>
      <w:r>
        <w:rPr>
          <w:spacing w:val="-6"/>
        </w:rPr>
        <w:t xml:space="preserve"> </w:t>
      </w:r>
      <w:r>
        <w:t>officials</w:t>
      </w:r>
      <w:r>
        <w:rPr>
          <w:spacing w:val="24"/>
        </w:rPr>
        <w:t xml:space="preserve"> </w:t>
      </w:r>
      <w:r>
        <w:t>in</w:t>
      </w:r>
      <w:r>
        <w:rPr>
          <w:spacing w:val="-3"/>
        </w:rPr>
        <w:t xml:space="preserve"> </w:t>
      </w:r>
      <w:r>
        <w:t>the</w:t>
      </w:r>
      <w:r>
        <w:rPr>
          <w:spacing w:val="-6"/>
        </w:rPr>
        <w:t xml:space="preserve"> </w:t>
      </w:r>
      <w:r>
        <w:t>electronic mortgage system.</w:t>
      </w:r>
      <w:r>
        <w:rPr>
          <w:spacing w:val="-2"/>
        </w:rPr>
        <w:t xml:space="preserve"> </w:t>
      </w:r>
      <w:r>
        <w:rPr>
          <w:i/>
        </w:rPr>
        <w:t>Edelweiss</w:t>
      </w:r>
      <w:r>
        <w:rPr>
          <w:i/>
          <w:spacing w:val="-6"/>
        </w:rPr>
        <w:t xml:space="preserve"> </w:t>
      </w:r>
      <w:r>
        <w:rPr>
          <w:i/>
        </w:rPr>
        <w:t>Applied</w:t>
      </w:r>
      <w:r>
        <w:rPr>
          <w:i/>
          <w:spacing w:val="-7"/>
        </w:rPr>
        <w:t xml:space="preserve"> </w:t>
      </w:r>
      <w:r>
        <w:rPr>
          <w:i/>
        </w:rPr>
        <w:t>Scien</w:t>
      </w:r>
      <w:r>
        <w:rPr>
          <w:i/>
        </w:rPr>
        <w:t>ce</w:t>
      </w:r>
      <w:r>
        <w:rPr>
          <w:i/>
          <w:spacing w:val="-8"/>
        </w:rPr>
        <w:t xml:space="preserve"> </w:t>
      </w:r>
      <w:r>
        <w:rPr>
          <w:i/>
        </w:rPr>
        <w:t>and Technology</w:t>
      </w:r>
      <w:r>
        <w:t xml:space="preserve">, </w:t>
      </w:r>
      <w:r>
        <w:rPr>
          <w:i/>
        </w:rPr>
        <w:t>8</w:t>
      </w:r>
      <w:r>
        <w:t>(6), 5329–5335.</w:t>
      </w:r>
      <w:r>
        <w:rPr>
          <w:spacing w:val="40"/>
        </w:rPr>
        <w:t xml:space="preserve"> </w:t>
      </w:r>
      <w:r>
        <w:t>Scopus. https://doi.org/10.55214/25768484.v8i6.3188</w:t>
      </w:r>
    </w:p>
    <w:p w:rsidR="00143FDB" w:rsidRDefault="006A44E3">
      <w:pPr>
        <w:pStyle w:val="BodyText"/>
        <w:spacing w:before="3" w:line="278" w:lineRule="auto"/>
        <w:ind w:left="833" w:right="70" w:hanging="720"/>
      </w:pPr>
      <w:r>
        <w:t xml:space="preserve">Solarte-Vasquez, M. C., &amp; Hietanen-Kunwald, P. (2020). Transaction design standards for the operationalisation of fairness and empowerment in proactive contracting. </w:t>
      </w:r>
      <w:r>
        <w:rPr>
          <w:i/>
        </w:rPr>
        <w:t>International and Comparative Law Review</w:t>
      </w:r>
      <w:r>
        <w:t xml:space="preserve">, </w:t>
      </w:r>
      <w:r>
        <w:rPr>
          <w:i/>
        </w:rPr>
        <w:t>20</w:t>
      </w:r>
      <w:r>
        <w:t>(1), 180–200. Scopus. https://doi.org/10.2478/iclr-2020-0008</w:t>
      </w:r>
    </w:p>
    <w:p w:rsidR="00143FDB" w:rsidRDefault="006A44E3">
      <w:pPr>
        <w:pStyle w:val="BodyText"/>
        <w:spacing w:line="249" w:lineRule="exact"/>
      </w:pPr>
      <w:r>
        <w:t>Spector,</w:t>
      </w:r>
      <w:r>
        <w:rPr>
          <w:spacing w:val="-9"/>
        </w:rPr>
        <w:t xml:space="preserve"> </w:t>
      </w:r>
      <w:r>
        <w:t>H.</w:t>
      </w:r>
      <w:r>
        <w:rPr>
          <w:spacing w:val="-8"/>
        </w:rPr>
        <w:t xml:space="preserve"> </w:t>
      </w:r>
      <w:r>
        <w:t>(2021).</w:t>
      </w:r>
      <w:r>
        <w:rPr>
          <w:spacing w:val="17"/>
        </w:rPr>
        <w:t xml:space="preserve"> </w:t>
      </w:r>
      <w:r>
        <w:t>Constitutional</w:t>
      </w:r>
      <w:r>
        <w:rPr>
          <w:spacing w:val="36"/>
        </w:rPr>
        <w:t xml:space="preserve"> </w:t>
      </w:r>
      <w:r>
        <w:t>proportionality</w:t>
      </w:r>
      <w:r>
        <w:rPr>
          <w:spacing w:val="53"/>
        </w:rPr>
        <w:t xml:space="preserve"> </w:t>
      </w:r>
      <w:r>
        <w:t>and</w:t>
      </w:r>
      <w:r>
        <w:rPr>
          <w:spacing w:val="-4"/>
        </w:rPr>
        <w:t xml:space="preserve"> </w:t>
      </w:r>
      <w:r>
        <w:t>moral</w:t>
      </w:r>
      <w:r>
        <w:rPr>
          <w:spacing w:val="2"/>
        </w:rPr>
        <w:t xml:space="preserve"> </w:t>
      </w:r>
      <w:r>
        <w:t>deontology.</w:t>
      </w:r>
      <w:r>
        <w:rPr>
          <w:spacing w:val="49"/>
        </w:rPr>
        <w:t xml:space="preserve"> </w:t>
      </w:r>
      <w:r>
        <w:rPr>
          <w:i/>
        </w:rPr>
        <w:t>Jurisprudence</w:t>
      </w:r>
      <w:r>
        <w:t>,</w:t>
      </w:r>
      <w:r>
        <w:rPr>
          <w:spacing w:val="-22"/>
        </w:rPr>
        <w:t xml:space="preserve"> </w:t>
      </w:r>
      <w:r>
        <w:rPr>
          <w:i/>
        </w:rPr>
        <w:t>12</w:t>
      </w:r>
      <w:r>
        <w:t>(4),</w:t>
      </w:r>
      <w:r>
        <w:rPr>
          <w:spacing w:val="-14"/>
        </w:rPr>
        <w:t xml:space="preserve"> </w:t>
      </w:r>
      <w:r>
        <w:rPr>
          <w:spacing w:val="-2"/>
        </w:rPr>
        <w:t>512–536.</w:t>
      </w:r>
    </w:p>
    <w:p w:rsidR="00143FDB" w:rsidRDefault="006A44E3">
      <w:pPr>
        <w:pStyle w:val="BodyText"/>
        <w:spacing w:before="33"/>
        <w:ind w:left="833"/>
      </w:pPr>
      <w:r>
        <w:t>Scopus.</w:t>
      </w:r>
      <w:r>
        <w:rPr>
          <w:spacing w:val="-5"/>
        </w:rPr>
        <w:t xml:space="preserve"> </w:t>
      </w:r>
      <w:r>
        <w:rPr>
          <w:spacing w:val="-2"/>
        </w:rPr>
        <w:t>https://doi.org/10.1080/20403313.2021.1</w:t>
      </w:r>
      <w:r>
        <w:rPr>
          <w:spacing w:val="-2"/>
        </w:rPr>
        <w:t>949851</w:t>
      </w:r>
    </w:p>
    <w:p w:rsidR="00143FDB" w:rsidRDefault="006A44E3">
      <w:pPr>
        <w:pStyle w:val="BodyText"/>
        <w:spacing w:before="30" w:line="278" w:lineRule="auto"/>
        <w:ind w:left="833" w:right="56" w:hanging="720"/>
      </w:pPr>
      <w:r>
        <w:t xml:space="preserve">Stockebrand, A. W. (2019). Re obligamur, CUM res IPSA intercedit? On the so-called real contract by modestinus. </w:t>
      </w:r>
      <w:r>
        <w:rPr>
          <w:i/>
        </w:rPr>
        <w:t>Revista Chilena de Derecho</w:t>
      </w:r>
      <w:r>
        <w:t xml:space="preserve">, </w:t>
      </w:r>
      <w:r>
        <w:rPr>
          <w:i/>
        </w:rPr>
        <w:t>46</w:t>
      </w:r>
      <w:r>
        <w:t xml:space="preserve">(3), 669–689. Scopus. https://doi.org/10.4067/S0718- </w:t>
      </w:r>
      <w:r>
        <w:rPr>
          <w:spacing w:val="-2"/>
        </w:rPr>
        <w:t>34372019000300669</w:t>
      </w:r>
    </w:p>
    <w:p w:rsidR="00143FDB" w:rsidRDefault="006A44E3">
      <w:pPr>
        <w:spacing w:before="1" w:line="285" w:lineRule="auto"/>
        <w:ind w:left="833" w:right="68" w:hanging="720"/>
        <w:jc w:val="both"/>
      </w:pPr>
      <w:r>
        <w:t xml:space="preserve">Stockebrand, W. A. (2018). On the so-called real contract in the Institutes of Gaius. </w:t>
      </w:r>
      <w:r>
        <w:rPr>
          <w:i/>
        </w:rPr>
        <w:t>Revista de Estudios Historico-Juridicos</w:t>
      </w:r>
      <w:r>
        <w:t xml:space="preserve">, </w:t>
      </w:r>
      <w:r>
        <w:rPr>
          <w:i/>
        </w:rPr>
        <w:t>40</w:t>
      </w:r>
      <w:r>
        <w:t>, 97–122. Scopus. https://doi.org/10.4067/s0716-54552018000100097</w:t>
      </w:r>
    </w:p>
    <w:p w:rsidR="00143FDB" w:rsidRDefault="006A44E3">
      <w:pPr>
        <w:spacing w:line="268" w:lineRule="auto"/>
        <w:ind w:left="833" w:hanging="720"/>
      </w:pPr>
      <w:r>
        <w:t>Susanti,</w:t>
      </w:r>
      <w:r>
        <w:rPr>
          <w:spacing w:val="71"/>
        </w:rPr>
        <w:t xml:space="preserve"> </w:t>
      </w:r>
      <w:r>
        <w:t>L.</w:t>
      </w:r>
      <w:r>
        <w:rPr>
          <w:spacing w:val="40"/>
        </w:rPr>
        <w:t xml:space="preserve"> </w:t>
      </w:r>
      <w:r>
        <w:t>E.,</w:t>
      </w:r>
      <w:r>
        <w:rPr>
          <w:spacing w:val="40"/>
        </w:rPr>
        <w:t xml:space="preserve"> </w:t>
      </w:r>
      <w:r>
        <w:t>&amp;</w:t>
      </w:r>
      <w:r>
        <w:rPr>
          <w:spacing w:val="40"/>
        </w:rPr>
        <w:t xml:space="preserve"> </w:t>
      </w:r>
      <w:r>
        <w:t>Imanullah,</w:t>
      </w:r>
      <w:r>
        <w:rPr>
          <w:spacing w:val="80"/>
        </w:rPr>
        <w:t xml:space="preserve"> </w:t>
      </w:r>
      <w:r>
        <w:t>M.</w:t>
      </w:r>
      <w:r>
        <w:rPr>
          <w:spacing w:val="40"/>
        </w:rPr>
        <w:t xml:space="preserve"> </w:t>
      </w:r>
      <w:r>
        <w:t>N.</w:t>
      </w:r>
      <w:r>
        <w:rPr>
          <w:spacing w:val="40"/>
        </w:rPr>
        <w:t xml:space="preserve"> </w:t>
      </w:r>
      <w:r>
        <w:t>(2019).</w:t>
      </w:r>
      <w:r>
        <w:rPr>
          <w:spacing w:val="40"/>
        </w:rPr>
        <w:t xml:space="preserve"> </w:t>
      </w:r>
      <w:r>
        <w:t>Developing</w:t>
      </w:r>
      <w:r>
        <w:rPr>
          <w:spacing w:val="72"/>
        </w:rPr>
        <w:t xml:space="preserve"> </w:t>
      </w:r>
      <w:r>
        <w:t>online</w:t>
      </w:r>
      <w:r>
        <w:rPr>
          <w:spacing w:val="80"/>
        </w:rPr>
        <w:t xml:space="preserve"> </w:t>
      </w:r>
      <w:r>
        <w:t>fiduciary</w:t>
      </w:r>
      <w:r>
        <w:rPr>
          <w:spacing w:val="75"/>
        </w:rPr>
        <w:t xml:space="preserve"> </w:t>
      </w:r>
      <w:r>
        <w:t>registration</w:t>
      </w:r>
      <w:r>
        <w:rPr>
          <w:spacing w:val="40"/>
        </w:rPr>
        <w:t xml:space="preserve"> </w:t>
      </w:r>
      <w:r>
        <w:t>system</w:t>
      </w:r>
      <w:r>
        <w:rPr>
          <w:spacing w:val="40"/>
        </w:rPr>
        <w:t xml:space="preserve"> </w:t>
      </w:r>
      <w:r>
        <w:t>that</w:t>
      </w:r>
      <w:r>
        <w:rPr>
          <w:spacing w:val="40"/>
        </w:rPr>
        <w:t xml:space="preserve"> </w:t>
      </w:r>
      <w:r>
        <w:t>is strengthening</w:t>
      </w:r>
      <w:r>
        <w:rPr>
          <w:spacing w:val="23"/>
        </w:rPr>
        <w:t xml:space="preserve"> </w:t>
      </w:r>
      <w:r>
        <w:t>law and</w:t>
      </w:r>
      <w:r>
        <w:rPr>
          <w:spacing w:val="-1"/>
        </w:rPr>
        <w:t xml:space="preserve"> </w:t>
      </w:r>
      <w:r>
        <w:t>justice.</w:t>
      </w:r>
      <w:r>
        <w:rPr>
          <w:spacing w:val="33"/>
        </w:rPr>
        <w:t xml:space="preserve"> </w:t>
      </w:r>
      <w:r>
        <w:rPr>
          <w:i/>
        </w:rPr>
        <w:t>International Journal</w:t>
      </w:r>
      <w:r>
        <w:rPr>
          <w:i/>
          <w:spacing w:val="-2"/>
        </w:rPr>
        <w:t xml:space="preserve"> </w:t>
      </w:r>
      <w:r>
        <w:rPr>
          <w:i/>
        </w:rPr>
        <w:t>of Advanced Science</w:t>
      </w:r>
      <w:r>
        <w:rPr>
          <w:i/>
          <w:spacing w:val="-1"/>
        </w:rPr>
        <w:t xml:space="preserve"> </w:t>
      </w:r>
      <w:r>
        <w:rPr>
          <w:i/>
        </w:rPr>
        <w:t>and</w:t>
      </w:r>
      <w:r>
        <w:rPr>
          <w:i/>
          <w:spacing w:val="-3"/>
        </w:rPr>
        <w:t xml:space="preserve"> </w:t>
      </w:r>
      <w:r>
        <w:rPr>
          <w:i/>
        </w:rPr>
        <w:t>Technology</w:t>
      </w:r>
      <w:r>
        <w:t>,</w:t>
      </w:r>
      <w:r>
        <w:rPr>
          <w:spacing w:val="-8"/>
        </w:rPr>
        <w:t xml:space="preserve"> </w:t>
      </w:r>
      <w:r>
        <w:rPr>
          <w:i/>
        </w:rPr>
        <w:t>28</w:t>
      </w:r>
      <w:r>
        <w:t>(20), 378–383. Scopus.</w:t>
      </w:r>
    </w:p>
    <w:p w:rsidR="00143FDB" w:rsidRDefault="006A44E3">
      <w:pPr>
        <w:pStyle w:val="BodyText"/>
        <w:jc w:val="left"/>
      </w:pPr>
      <w:r>
        <w:t>Szabolcs,</w:t>
      </w:r>
      <w:r>
        <w:rPr>
          <w:spacing w:val="16"/>
        </w:rPr>
        <w:t xml:space="preserve"> </w:t>
      </w:r>
      <w:r>
        <w:t>S.-B.</w:t>
      </w:r>
      <w:r>
        <w:rPr>
          <w:spacing w:val="-6"/>
        </w:rPr>
        <w:t xml:space="preserve"> </w:t>
      </w:r>
      <w:r>
        <w:t>(2023).</w:t>
      </w:r>
      <w:r>
        <w:rPr>
          <w:spacing w:val="19"/>
        </w:rPr>
        <w:t xml:space="preserve"> </w:t>
      </w:r>
      <w:r>
        <w:t>Examining</w:t>
      </w:r>
      <w:r>
        <w:rPr>
          <w:spacing w:val="45"/>
        </w:rPr>
        <w:t xml:space="preserve"> </w:t>
      </w:r>
      <w:r>
        <w:t>the</w:t>
      </w:r>
      <w:r>
        <w:rPr>
          <w:spacing w:val="8"/>
        </w:rPr>
        <w:t xml:space="preserve"> </w:t>
      </w:r>
      <w:r>
        <w:t>Requirement</w:t>
      </w:r>
      <w:r>
        <w:rPr>
          <w:spacing w:val="13"/>
        </w:rPr>
        <w:t xml:space="preserve"> </w:t>
      </w:r>
      <w:r>
        <w:t>of</w:t>
      </w:r>
      <w:r>
        <w:rPr>
          <w:spacing w:val="16"/>
        </w:rPr>
        <w:t xml:space="preserve"> </w:t>
      </w:r>
      <w:r>
        <w:t>Norm</w:t>
      </w:r>
      <w:r>
        <w:rPr>
          <w:spacing w:val="-6"/>
        </w:rPr>
        <w:t xml:space="preserve"> </w:t>
      </w:r>
      <w:r>
        <w:t>Clarity</w:t>
      </w:r>
      <w:r>
        <w:rPr>
          <w:spacing w:val="20"/>
        </w:rPr>
        <w:t xml:space="preserve"> </w:t>
      </w:r>
      <w:r>
        <w:t>in</w:t>
      </w:r>
      <w:r>
        <w:rPr>
          <w:spacing w:val="22"/>
        </w:rPr>
        <w:t xml:space="preserve"> </w:t>
      </w:r>
      <w:r>
        <w:t>Public</w:t>
      </w:r>
      <w:r>
        <w:rPr>
          <w:spacing w:val="20"/>
        </w:rPr>
        <w:t xml:space="preserve"> </w:t>
      </w:r>
      <w:r>
        <w:t>Procurement</w:t>
      </w:r>
      <w:r>
        <w:rPr>
          <w:spacing w:val="6"/>
        </w:rPr>
        <w:t xml:space="preserve"> </w:t>
      </w:r>
      <w:r>
        <w:rPr>
          <w:spacing w:val="-2"/>
        </w:rPr>
        <w:t>Legislation.</w:t>
      </w:r>
    </w:p>
    <w:p w:rsidR="00143FDB" w:rsidRDefault="006A44E3">
      <w:pPr>
        <w:spacing w:before="39"/>
        <w:ind w:left="833"/>
      </w:pPr>
      <w:r>
        <w:rPr>
          <w:i/>
        </w:rPr>
        <w:t>Mag</w:t>
      </w:r>
      <w:r>
        <w:rPr>
          <w:i/>
        </w:rPr>
        <w:t>yar</w:t>
      </w:r>
      <w:r>
        <w:rPr>
          <w:i/>
          <w:spacing w:val="-14"/>
        </w:rPr>
        <w:t xml:space="preserve"> </w:t>
      </w:r>
      <w:r>
        <w:rPr>
          <w:i/>
        </w:rPr>
        <w:t>Nyelvor</w:t>
      </w:r>
      <w:r>
        <w:t>,</w:t>
      </w:r>
      <w:r>
        <w:rPr>
          <w:spacing w:val="-15"/>
        </w:rPr>
        <w:t xml:space="preserve"> </w:t>
      </w:r>
      <w:r>
        <w:rPr>
          <w:i/>
        </w:rPr>
        <w:t>147</w:t>
      </w:r>
      <w:r>
        <w:t>(1),</w:t>
      </w:r>
      <w:r>
        <w:rPr>
          <w:spacing w:val="-14"/>
        </w:rPr>
        <w:t xml:space="preserve"> </w:t>
      </w:r>
      <w:r>
        <w:t>93–107.</w:t>
      </w:r>
      <w:r>
        <w:rPr>
          <w:spacing w:val="-5"/>
        </w:rPr>
        <w:t xml:space="preserve"> </w:t>
      </w:r>
      <w:r>
        <w:t>Scopus.</w:t>
      </w:r>
      <w:r>
        <w:rPr>
          <w:spacing w:val="2"/>
        </w:rPr>
        <w:t xml:space="preserve"> </w:t>
      </w:r>
      <w:r>
        <w:rPr>
          <w:spacing w:val="-2"/>
        </w:rPr>
        <w:t>https://doi.org/10.38143/Nyr.2023.1.93</w:t>
      </w:r>
    </w:p>
    <w:p w:rsidR="00143FDB" w:rsidRDefault="006A44E3">
      <w:pPr>
        <w:pStyle w:val="BodyText"/>
        <w:spacing w:before="31" w:line="271" w:lineRule="auto"/>
        <w:ind w:left="833" w:hanging="720"/>
        <w:jc w:val="left"/>
      </w:pPr>
      <w:r>
        <w:t>Taghizadeh-Hesary, F.,</w:t>
      </w:r>
      <w:r>
        <w:rPr>
          <w:spacing w:val="37"/>
        </w:rPr>
        <w:t xml:space="preserve"> </w:t>
      </w:r>
      <w:r>
        <w:t>Yoshino,</w:t>
      </w:r>
      <w:r>
        <w:rPr>
          <w:spacing w:val="40"/>
        </w:rPr>
        <w:t xml:space="preserve"> </w:t>
      </w:r>
      <w:r>
        <w:t>N., Fukuda,</w:t>
      </w:r>
      <w:r>
        <w:rPr>
          <w:spacing w:val="36"/>
        </w:rPr>
        <w:t xml:space="preserve"> </w:t>
      </w:r>
      <w:r>
        <w:t>L., &amp; Rasoulinezhad,</w:t>
      </w:r>
      <w:r>
        <w:rPr>
          <w:spacing w:val="40"/>
        </w:rPr>
        <w:t xml:space="preserve"> </w:t>
      </w:r>
      <w:r>
        <w:t>E.</w:t>
      </w:r>
      <w:r>
        <w:rPr>
          <w:spacing w:val="36"/>
        </w:rPr>
        <w:t xml:space="preserve"> </w:t>
      </w:r>
      <w:r>
        <w:t>(2021).</w:t>
      </w:r>
      <w:r>
        <w:rPr>
          <w:spacing w:val="35"/>
        </w:rPr>
        <w:t xml:space="preserve"> </w:t>
      </w:r>
      <w:r>
        <w:t>A</w:t>
      </w:r>
      <w:r>
        <w:rPr>
          <w:spacing w:val="35"/>
        </w:rPr>
        <w:t xml:space="preserve"> </w:t>
      </w:r>
      <w:r>
        <w:t>model</w:t>
      </w:r>
      <w:r>
        <w:rPr>
          <w:spacing w:val="33"/>
        </w:rPr>
        <w:t xml:space="preserve"> </w:t>
      </w:r>
      <w:r>
        <w:t>for</w:t>
      </w:r>
      <w:r>
        <w:rPr>
          <w:spacing w:val="32"/>
        </w:rPr>
        <w:t xml:space="preserve"> </w:t>
      </w:r>
      <w:r>
        <w:t>calculating optimal</w:t>
      </w:r>
      <w:r>
        <w:rPr>
          <w:spacing w:val="-10"/>
        </w:rPr>
        <w:t xml:space="preserve"> </w:t>
      </w:r>
      <w:r>
        <w:t>credit</w:t>
      </w:r>
      <w:r>
        <w:rPr>
          <w:spacing w:val="-5"/>
        </w:rPr>
        <w:t xml:space="preserve"> </w:t>
      </w:r>
      <w:r>
        <w:t>guarantee</w:t>
      </w:r>
      <w:r>
        <w:rPr>
          <w:spacing w:val="-14"/>
        </w:rPr>
        <w:t xml:space="preserve"> </w:t>
      </w:r>
      <w:r>
        <w:t>fee</w:t>
      </w:r>
      <w:r>
        <w:rPr>
          <w:spacing w:val="-14"/>
        </w:rPr>
        <w:t xml:space="preserve"> </w:t>
      </w:r>
      <w:r>
        <w:t>for</w:t>
      </w:r>
      <w:r>
        <w:rPr>
          <w:spacing w:val="-14"/>
        </w:rPr>
        <w:t xml:space="preserve"> </w:t>
      </w:r>
      <w:r>
        <w:t>small</w:t>
      </w:r>
      <w:r>
        <w:rPr>
          <w:spacing w:val="-28"/>
        </w:rPr>
        <w:t xml:space="preserve"> </w:t>
      </w:r>
      <w:r>
        <w:t>and</w:t>
      </w:r>
      <w:r>
        <w:rPr>
          <w:spacing w:val="-10"/>
        </w:rPr>
        <w:t xml:space="preserve"> </w:t>
      </w:r>
      <w:r>
        <w:t>medium-sized</w:t>
      </w:r>
      <w:r>
        <w:rPr>
          <w:spacing w:val="17"/>
        </w:rPr>
        <w:t xml:space="preserve"> </w:t>
      </w:r>
      <w:r>
        <w:t>enterprises.</w:t>
      </w:r>
      <w:r>
        <w:rPr>
          <w:spacing w:val="-9"/>
        </w:rPr>
        <w:t xml:space="preserve"> </w:t>
      </w:r>
      <w:r>
        <w:rPr>
          <w:i/>
        </w:rPr>
        <w:t>Economic</w:t>
      </w:r>
      <w:r>
        <w:rPr>
          <w:i/>
          <w:spacing w:val="-14"/>
        </w:rPr>
        <w:t xml:space="preserve"> </w:t>
      </w:r>
      <w:r>
        <w:rPr>
          <w:i/>
        </w:rPr>
        <w:t>Modelling</w:t>
      </w:r>
      <w:r>
        <w:t>,</w:t>
      </w:r>
      <w:r>
        <w:rPr>
          <w:spacing w:val="-22"/>
        </w:rPr>
        <w:t xml:space="preserve"> </w:t>
      </w:r>
      <w:r>
        <w:rPr>
          <w:i/>
        </w:rPr>
        <w:t>95</w:t>
      </w:r>
      <w:r>
        <w:t>,</w:t>
      </w:r>
      <w:r>
        <w:rPr>
          <w:spacing w:val="-24"/>
        </w:rPr>
        <w:t xml:space="preserve"> </w:t>
      </w:r>
      <w:r>
        <w:t>361–</w:t>
      </w:r>
    </w:p>
    <w:p w:rsidR="00143FDB" w:rsidRDefault="006A44E3">
      <w:pPr>
        <w:pStyle w:val="BodyText"/>
        <w:spacing w:before="14"/>
        <w:ind w:left="833"/>
        <w:jc w:val="left"/>
      </w:pPr>
      <w:r>
        <w:t>373.</w:t>
      </w:r>
      <w:r>
        <w:rPr>
          <w:spacing w:val="-8"/>
        </w:rPr>
        <w:t xml:space="preserve"> </w:t>
      </w:r>
      <w:r>
        <w:t>Scopus.</w:t>
      </w:r>
      <w:r>
        <w:rPr>
          <w:spacing w:val="-7"/>
        </w:rPr>
        <w:t xml:space="preserve"> </w:t>
      </w:r>
      <w:r>
        <w:rPr>
          <w:spacing w:val="-2"/>
        </w:rPr>
        <w:t>https://doi.org/10.1016/j.econmod.2020.03.003</w:t>
      </w:r>
    </w:p>
    <w:p w:rsidR="00143FDB" w:rsidRDefault="006A44E3">
      <w:pPr>
        <w:pStyle w:val="BodyText"/>
        <w:spacing w:before="32" w:line="276" w:lineRule="auto"/>
        <w:ind w:left="833" w:right="274" w:hanging="720"/>
        <w:jc w:val="left"/>
      </w:pPr>
      <w:r>
        <w:t>Targa,</w:t>
      </w:r>
      <w:r>
        <w:rPr>
          <w:spacing w:val="-14"/>
        </w:rPr>
        <w:t xml:space="preserve"> </w:t>
      </w:r>
      <w:r>
        <w:t>M.</w:t>
      </w:r>
      <w:r>
        <w:rPr>
          <w:spacing w:val="-2"/>
        </w:rPr>
        <w:t xml:space="preserve"> </w:t>
      </w:r>
      <w:r>
        <w:t>L.</w:t>
      </w:r>
      <w:r>
        <w:rPr>
          <w:spacing w:val="-2"/>
        </w:rPr>
        <w:t xml:space="preserve"> </w:t>
      </w:r>
      <w:r>
        <w:t>B.,</w:t>
      </w:r>
      <w:r>
        <w:rPr>
          <w:spacing w:val="-14"/>
        </w:rPr>
        <w:t xml:space="preserve"> </w:t>
      </w:r>
      <w:r>
        <w:t>&amp;</w:t>
      </w:r>
      <w:r>
        <w:rPr>
          <w:spacing w:val="-4"/>
        </w:rPr>
        <w:t xml:space="preserve"> </w:t>
      </w:r>
      <w:r>
        <w:t>Riemenschneider,</w:t>
      </w:r>
      <w:r>
        <w:rPr>
          <w:spacing w:val="-2"/>
        </w:rPr>
        <w:t xml:space="preserve"> </w:t>
      </w:r>
      <w:r>
        <w:t>P.</w:t>
      </w:r>
      <w:r>
        <w:rPr>
          <w:spacing w:val="-2"/>
        </w:rPr>
        <w:t xml:space="preserve"> </w:t>
      </w:r>
      <w:r>
        <w:t>S.</w:t>
      </w:r>
      <w:r>
        <w:rPr>
          <w:spacing w:val="-5"/>
        </w:rPr>
        <w:t xml:space="preserve"> </w:t>
      </w:r>
      <w:r>
        <w:t>(2022).</w:t>
      </w:r>
      <w:r>
        <w:rPr>
          <w:spacing w:val="-2"/>
        </w:rPr>
        <w:t xml:space="preserve"> </w:t>
      </w:r>
      <w:r>
        <w:t>Hermeneutic</w:t>
      </w:r>
      <w:r>
        <w:rPr>
          <w:spacing w:val="-2"/>
        </w:rPr>
        <w:t xml:space="preserve"> </w:t>
      </w:r>
      <w:r>
        <w:t>Function</w:t>
      </w:r>
      <w:r>
        <w:rPr>
          <w:spacing w:val="-2"/>
        </w:rPr>
        <w:t xml:space="preserve"> </w:t>
      </w:r>
      <w:r>
        <w:t>of</w:t>
      </w:r>
      <w:r>
        <w:rPr>
          <w:spacing w:val="-2"/>
        </w:rPr>
        <w:t xml:space="preserve"> </w:t>
      </w:r>
      <w:r>
        <w:t>the</w:t>
      </w:r>
      <w:r>
        <w:rPr>
          <w:spacing w:val="-2"/>
        </w:rPr>
        <w:t xml:space="preserve"> </w:t>
      </w:r>
      <w:r>
        <w:t>Principle</w:t>
      </w:r>
      <w:r>
        <w:rPr>
          <w:spacing w:val="33"/>
        </w:rPr>
        <w:t xml:space="preserve"> </w:t>
      </w:r>
      <w:r>
        <w:t>of</w:t>
      </w:r>
      <w:r>
        <w:rPr>
          <w:spacing w:val="-2"/>
        </w:rPr>
        <w:t xml:space="preserve"> </w:t>
      </w:r>
      <w:r>
        <w:t>Good</w:t>
      </w:r>
      <w:r>
        <w:rPr>
          <w:spacing w:val="-2"/>
        </w:rPr>
        <w:t xml:space="preserve"> </w:t>
      </w:r>
      <w:r>
        <w:t>Faith: Interpretation</w:t>
      </w:r>
      <w:r>
        <w:rPr>
          <w:spacing w:val="37"/>
        </w:rPr>
        <w:t xml:space="preserve"> </w:t>
      </w:r>
      <w:r>
        <w:t>of</w:t>
      </w:r>
      <w:r>
        <w:rPr>
          <w:spacing w:val="38"/>
        </w:rPr>
        <w:t xml:space="preserve"> </w:t>
      </w:r>
      <w:r>
        <w:t>Contracts</w:t>
      </w:r>
      <w:r>
        <w:rPr>
          <w:spacing w:val="37"/>
        </w:rPr>
        <w:t xml:space="preserve"> </w:t>
      </w:r>
      <w:r>
        <w:t>in</w:t>
      </w:r>
      <w:r>
        <w:rPr>
          <w:spacing w:val="36"/>
        </w:rPr>
        <w:t xml:space="preserve"> </w:t>
      </w:r>
      <w:r>
        <w:t>Civil</w:t>
      </w:r>
      <w:r>
        <w:rPr>
          <w:spacing w:val="40"/>
        </w:rPr>
        <w:t xml:space="preserve"> </w:t>
      </w:r>
      <w:r>
        <w:t>and</w:t>
      </w:r>
      <w:r>
        <w:rPr>
          <w:spacing w:val="39"/>
        </w:rPr>
        <w:t xml:space="preserve"> </w:t>
      </w:r>
      <w:r>
        <w:t>Consumer</w:t>
      </w:r>
      <w:r>
        <w:rPr>
          <w:spacing w:val="40"/>
        </w:rPr>
        <w:t xml:space="preserve"> </w:t>
      </w:r>
      <w:r>
        <w:t>Relations.</w:t>
      </w:r>
      <w:r>
        <w:rPr>
          <w:spacing w:val="40"/>
        </w:rPr>
        <w:t xml:space="preserve"> </w:t>
      </w:r>
      <w:r>
        <w:rPr>
          <w:i/>
        </w:rPr>
        <w:t>Civilistica.com</w:t>
      </w:r>
      <w:r>
        <w:t>,</w:t>
      </w:r>
      <w:r>
        <w:rPr>
          <w:spacing w:val="-5"/>
        </w:rPr>
        <w:t xml:space="preserve"> </w:t>
      </w:r>
      <w:r>
        <w:rPr>
          <w:i/>
        </w:rPr>
        <w:t>11</w:t>
      </w:r>
      <w:r>
        <w:t>(3).</w:t>
      </w:r>
      <w:r>
        <w:rPr>
          <w:spacing w:val="32"/>
        </w:rPr>
        <w:t xml:space="preserve"> </w:t>
      </w:r>
      <w:r>
        <w:t xml:space="preserve">Scopus. </w:t>
      </w:r>
      <w:r>
        <w:rPr>
          <w:spacing w:val="-2"/>
        </w:rPr>
        <w:t>https:/</w:t>
      </w:r>
      <w:hyperlink r:id="rId17">
        <w:r>
          <w:rPr>
            <w:spacing w:val="-2"/>
          </w:rPr>
          <w:t>/www.scopus.com/inward/record.uri?eid=2-s2.0-</w:t>
        </w:r>
      </w:hyperlink>
      <w:r>
        <w:rPr>
          <w:spacing w:val="-2"/>
        </w:rPr>
        <w:t xml:space="preserve"> 85159649013&amp;partnerID=40&amp;md5=7e59a4d666b14ef48b53ae3598ce537b</w:t>
      </w:r>
    </w:p>
    <w:p w:rsidR="00143FDB" w:rsidRDefault="006A44E3">
      <w:pPr>
        <w:pStyle w:val="BodyText"/>
        <w:spacing w:before="8" w:line="271" w:lineRule="auto"/>
        <w:ind w:left="833" w:right="67" w:hanging="720"/>
      </w:pPr>
      <w:r>
        <w:t>Tarmizi,</w:t>
      </w:r>
      <w:r>
        <w:rPr>
          <w:spacing w:val="39"/>
        </w:rPr>
        <w:t xml:space="preserve"> </w:t>
      </w:r>
      <w:r>
        <w:t>T. (2020). The Principle of C</w:t>
      </w:r>
      <w:r>
        <w:t xml:space="preserve">onsensualism and Freedom of Contract as a Reflection of Morality and Legal Certainty of Contract Laws in Indonesia. </w:t>
      </w:r>
      <w:r>
        <w:rPr>
          <w:i/>
        </w:rPr>
        <w:t>Webology</w:t>
      </w:r>
      <w:r>
        <w:t xml:space="preserve">, </w:t>
      </w:r>
      <w:r>
        <w:rPr>
          <w:i/>
        </w:rPr>
        <w:t>17</w:t>
      </w:r>
      <w:r>
        <w:t xml:space="preserve">(2), 336–347. Scopus. </w:t>
      </w:r>
      <w:r>
        <w:rPr>
          <w:spacing w:val="-2"/>
        </w:rPr>
        <w:t>https://doi.org/10.14704/WEB/V17I2/WEB17036</w:t>
      </w:r>
    </w:p>
    <w:p w:rsidR="00143FDB" w:rsidRDefault="006A44E3">
      <w:pPr>
        <w:spacing w:before="12" w:line="271" w:lineRule="auto"/>
        <w:ind w:left="833" w:right="69" w:hanging="720"/>
        <w:jc w:val="both"/>
      </w:pPr>
      <w:r>
        <w:t>Tegnan, H., &amp; Setiowati, N. O. (2025). Aligning</w:t>
      </w:r>
      <w:r>
        <w:rPr>
          <w:spacing w:val="38"/>
        </w:rPr>
        <w:t xml:space="preserve"> </w:t>
      </w:r>
      <w:r>
        <w:t xml:space="preserve">State Finance </w:t>
      </w:r>
      <w:r>
        <w:t>Regulations with SOE Bankruptcy Policy: Evidence</w:t>
      </w:r>
      <w:r>
        <w:rPr>
          <w:spacing w:val="40"/>
        </w:rPr>
        <w:t xml:space="preserve"> </w:t>
      </w:r>
      <w:r>
        <w:t>from the United</w:t>
      </w:r>
      <w:r>
        <w:rPr>
          <w:spacing w:val="23"/>
        </w:rPr>
        <w:t xml:space="preserve"> </w:t>
      </w:r>
      <w:r>
        <w:t xml:space="preserve">States. </w:t>
      </w:r>
      <w:r>
        <w:rPr>
          <w:i/>
        </w:rPr>
        <w:t>Journal</w:t>
      </w:r>
      <w:r>
        <w:rPr>
          <w:i/>
          <w:spacing w:val="-5"/>
        </w:rPr>
        <w:t xml:space="preserve"> </w:t>
      </w:r>
      <w:r>
        <w:rPr>
          <w:i/>
        </w:rPr>
        <w:t>of Human</w:t>
      </w:r>
      <w:r>
        <w:rPr>
          <w:i/>
          <w:spacing w:val="-11"/>
        </w:rPr>
        <w:t xml:space="preserve"> </w:t>
      </w:r>
      <w:r>
        <w:rPr>
          <w:i/>
        </w:rPr>
        <w:t>Rights, Culture and</w:t>
      </w:r>
      <w:r>
        <w:rPr>
          <w:i/>
          <w:spacing w:val="-11"/>
        </w:rPr>
        <w:t xml:space="preserve"> </w:t>
      </w:r>
      <w:r>
        <w:rPr>
          <w:i/>
        </w:rPr>
        <w:t>Legal</w:t>
      </w:r>
      <w:r>
        <w:rPr>
          <w:i/>
          <w:spacing w:val="-5"/>
        </w:rPr>
        <w:t xml:space="preserve"> </w:t>
      </w:r>
      <w:r>
        <w:rPr>
          <w:i/>
        </w:rPr>
        <w:t>System</w:t>
      </w:r>
      <w:r>
        <w:t>,</w:t>
      </w:r>
      <w:r>
        <w:rPr>
          <w:spacing w:val="-16"/>
        </w:rPr>
        <w:t xml:space="preserve"> </w:t>
      </w:r>
      <w:r>
        <w:rPr>
          <w:i/>
        </w:rPr>
        <w:t>5</w:t>
      </w:r>
      <w:r>
        <w:t>(1), 246–</w:t>
      </w:r>
    </w:p>
    <w:p w:rsidR="00143FDB" w:rsidRDefault="006A44E3">
      <w:pPr>
        <w:pStyle w:val="BodyText"/>
        <w:spacing w:before="13"/>
        <w:ind w:left="833"/>
      </w:pPr>
      <w:r>
        <w:t>278.</w:t>
      </w:r>
      <w:r>
        <w:rPr>
          <w:spacing w:val="-8"/>
        </w:rPr>
        <w:t xml:space="preserve"> </w:t>
      </w:r>
      <w:r>
        <w:t>Scopus.</w:t>
      </w:r>
      <w:r>
        <w:rPr>
          <w:spacing w:val="-7"/>
        </w:rPr>
        <w:t xml:space="preserve"> </w:t>
      </w:r>
      <w:r>
        <w:rPr>
          <w:spacing w:val="-2"/>
        </w:rPr>
        <w:t>https://doi.org/10.53955/jhcls.v5i1.470</w:t>
      </w:r>
    </w:p>
    <w:p w:rsidR="00143FDB" w:rsidRDefault="00143FDB">
      <w:pPr>
        <w:pStyle w:val="BodyText"/>
        <w:sectPr w:rsidR="00143FDB">
          <w:pgSz w:w="11920" w:h="16860"/>
          <w:pgMar w:top="1460" w:right="1133" w:bottom="2440" w:left="1133" w:header="282" w:footer="2209" w:gutter="0"/>
          <w:cols w:space="720"/>
        </w:sectPr>
      </w:pPr>
    </w:p>
    <w:p w:rsidR="00143FDB" w:rsidRDefault="006A44E3">
      <w:pPr>
        <w:spacing w:before="81" w:line="271" w:lineRule="auto"/>
        <w:ind w:left="833" w:right="50" w:hanging="720"/>
        <w:jc w:val="both"/>
      </w:pPr>
      <w:r>
        <w:lastRenderedPageBreak/>
        <w:t xml:space="preserve">Trisiana, A. (2020). Analysis of legal system and democracy system in state system: A critical review of normative law in indonesia. </w:t>
      </w:r>
      <w:r>
        <w:rPr>
          <w:i/>
        </w:rPr>
        <w:t>Journal of Advanced Research in Dynamical and Control Systems</w:t>
      </w:r>
      <w:r>
        <w:t xml:space="preserve">, </w:t>
      </w:r>
      <w:r>
        <w:rPr>
          <w:i/>
        </w:rPr>
        <w:t>12</w:t>
      </w:r>
      <w:r>
        <w:t>(7), 210–216.</w:t>
      </w:r>
      <w:r>
        <w:rPr>
          <w:spacing w:val="40"/>
        </w:rPr>
        <w:t xml:space="preserve"> </w:t>
      </w:r>
      <w:r>
        <w:t>Scopus. https://doi.org/10.5373/JARDCS/V12I7</w:t>
      </w:r>
      <w:r>
        <w:t>/20202002</w:t>
      </w:r>
    </w:p>
    <w:p w:rsidR="00143FDB" w:rsidRDefault="006A44E3">
      <w:pPr>
        <w:pStyle w:val="BodyText"/>
        <w:spacing w:before="14" w:line="278" w:lineRule="auto"/>
        <w:ind w:left="833" w:right="66" w:hanging="720"/>
      </w:pPr>
      <w:r>
        <w:t xml:space="preserve">Tusseau, G. (2024). Research Handbook on Law and Utilitarianism. In </w:t>
      </w:r>
      <w:r>
        <w:rPr>
          <w:i/>
        </w:rPr>
        <w:t>Res. Handb. On Law and Utilitarianism</w:t>
      </w:r>
      <w:bookmarkStart w:id="0" w:name="_GoBack"/>
      <w:bookmarkEnd w:id="0"/>
      <w:r>
        <w:rPr>
          <w:i/>
        </w:rPr>
        <w:t xml:space="preserve"> </w:t>
      </w:r>
      <w:r>
        <w:t xml:space="preserve">(p. 477). Edward Elgar Publishing Ltd.; Scopus. </w:t>
      </w:r>
      <w:r>
        <w:rPr>
          <w:spacing w:val="-2"/>
        </w:rPr>
        <w:t>https://doi.org/10.4337/9781789901726</w:t>
      </w:r>
    </w:p>
    <w:p w:rsidR="00143FDB" w:rsidRDefault="006A44E3">
      <w:pPr>
        <w:spacing w:line="271" w:lineRule="auto"/>
        <w:ind w:left="833" w:right="58" w:hanging="720"/>
        <w:jc w:val="both"/>
      </w:pPr>
      <w:r>
        <w:t>Vučković, R. M. (2017). Pre-contractual informing of g</w:t>
      </w:r>
      <w:r>
        <w:t xml:space="preserve">uarantors in consumer loans. </w:t>
      </w:r>
      <w:r>
        <w:rPr>
          <w:i/>
        </w:rPr>
        <w:t>Zbornik Pravnog Fakulteta u Zagrebu</w:t>
      </w:r>
      <w:r>
        <w:t xml:space="preserve">, </w:t>
      </w:r>
      <w:r>
        <w:rPr>
          <w:i/>
        </w:rPr>
        <w:t>67</w:t>
      </w:r>
      <w:r>
        <w:t>(3–4), 497–529. Scopus.</w:t>
      </w:r>
    </w:p>
    <w:p w:rsidR="00143FDB" w:rsidRDefault="006A44E3">
      <w:pPr>
        <w:pStyle w:val="BodyText"/>
        <w:spacing w:before="2" w:line="278" w:lineRule="auto"/>
        <w:ind w:left="833" w:right="50" w:hanging="720"/>
      </w:pPr>
      <w:r>
        <w:t xml:space="preserve">Warjiyati, S., Ibrahim, K. M., Salam, S., &amp; Faruq, U. (2022). Complaint Authority for Constitutional Complaint by Indonesia’s Constitutional Court. </w:t>
      </w:r>
      <w:r>
        <w:rPr>
          <w:i/>
        </w:rPr>
        <w:t>Jurnal IUS Kajia</w:t>
      </w:r>
      <w:r>
        <w:rPr>
          <w:i/>
        </w:rPr>
        <w:t>n Hukum Dan Keadilan</w:t>
      </w:r>
      <w:r>
        <w:t xml:space="preserve">, </w:t>
      </w:r>
      <w:r>
        <w:rPr>
          <w:i/>
        </w:rPr>
        <w:t>10</w:t>
      </w:r>
      <w:r>
        <w:t>(2), 303–315.</w:t>
      </w:r>
      <w:r>
        <w:rPr>
          <w:spacing w:val="40"/>
        </w:rPr>
        <w:t xml:space="preserve"> </w:t>
      </w:r>
      <w:r>
        <w:t>Scopus. https://doi.org/10.29303/ius.v10i2.1070</w:t>
      </w:r>
    </w:p>
    <w:p w:rsidR="00143FDB" w:rsidRDefault="006A44E3">
      <w:pPr>
        <w:spacing w:line="278" w:lineRule="auto"/>
        <w:ind w:left="833" w:right="61" w:hanging="720"/>
        <w:jc w:val="both"/>
      </w:pPr>
      <w:r>
        <w:t>Witzleb,</w:t>
      </w:r>
      <w:r>
        <w:rPr>
          <w:spacing w:val="16"/>
        </w:rPr>
        <w:t xml:space="preserve"> </w:t>
      </w:r>
      <w:r>
        <w:t>N.</w:t>
      </w:r>
      <w:r>
        <w:rPr>
          <w:spacing w:val="-10"/>
        </w:rPr>
        <w:t xml:space="preserve"> </w:t>
      </w:r>
      <w:r>
        <w:t>(2022).</w:t>
      </w:r>
      <w:r>
        <w:rPr>
          <w:spacing w:val="-3"/>
        </w:rPr>
        <w:t xml:space="preserve"> </w:t>
      </w:r>
      <w:r>
        <w:t>Contract</w:t>
      </w:r>
      <w:r>
        <w:rPr>
          <w:spacing w:val="-8"/>
        </w:rPr>
        <w:t xml:space="preserve"> </w:t>
      </w:r>
      <w:r>
        <w:t>law</w:t>
      </w:r>
      <w:r>
        <w:rPr>
          <w:spacing w:val="-10"/>
        </w:rPr>
        <w:t xml:space="preserve"> </w:t>
      </w:r>
      <w:r>
        <w:t>in</w:t>
      </w:r>
      <w:r>
        <w:rPr>
          <w:spacing w:val="-3"/>
        </w:rPr>
        <w:t xml:space="preserve"> </w:t>
      </w:r>
      <w:r>
        <w:t>changing times:</w:t>
      </w:r>
      <w:r>
        <w:rPr>
          <w:spacing w:val="-4"/>
        </w:rPr>
        <w:t xml:space="preserve"> </w:t>
      </w:r>
      <w:r>
        <w:t>Asian</w:t>
      </w:r>
      <w:r>
        <w:rPr>
          <w:spacing w:val="-7"/>
        </w:rPr>
        <w:t xml:space="preserve"> </w:t>
      </w:r>
      <w:r>
        <w:t>perspectives</w:t>
      </w:r>
      <w:r>
        <w:rPr>
          <w:spacing w:val="-2"/>
        </w:rPr>
        <w:t xml:space="preserve"> </w:t>
      </w:r>
      <w:r>
        <w:t>on</w:t>
      </w:r>
      <w:r>
        <w:rPr>
          <w:spacing w:val="-5"/>
        </w:rPr>
        <w:t xml:space="preserve"> </w:t>
      </w:r>
      <w:r>
        <w:t>Pacta</w:t>
      </w:r>
      <w:r>
        <w:rPr>
          <w:spacing w:val="-7"/>
        </w:rPr>
        <w:t xml:space="preserve"> </w:t>
      </w:r>
      <w:r>
        <w:t>sunt</w:t>
      </w:r>
      <w:r>
        <w:rPr>
          <w:spacing w:val="-9"/>
        </w:rPr>
        <w:t xml:space="preserve"> </w:t>
      </w:r>
      <w:r>
        <w:t>servanda.</w:t>
      </w:r>
      <w:r>
        <w:rPr>
          <w:spacing w:val="-7"/>
        </w:rPr>
        <w:t xml:space="preserve"> </w:t>
      </w:r>
      <w:r>
        <w:t>In</w:t>
      </w:r>
      <w:r>
        <w:rPr>
          <w:spacing w:val="-12"/>
        </w:rPr>
        <w:t xml:space="preserve"> </w:t>
      </w:r>
      <w:r>
        <w:rPr>
          <w:i/>
        </w:rPr>
        <w:t xml:space="preserve">Contract Law in Chang. Times: Asian Perspect. On Pacta Sunt Servanda </w:t>
      </w:r>
      <w:r>
        <w:t>(p. 268). Taylor and Francis; Scopus. https://doi.org/10.4324/9781003280248</w:t>
      </w:r>
    </w:p>
    <w:p w:rsidR="00143FDB" w:rsidRDefault="006A44E3">
      <w:pPr>
        <w:spacing w:line="278" w:lineRule="auto"/>
        <w:ind w:left="833" w:right="68" w:hanging="720"/>
        <w:jc w:val="both"/>
      </w:pPr>
      <w:r>
        <w:t xml:space="preserve">Wulandari, R. A., Azheri, B., &amp; Fauzi, W. (2024). Analysing Collateral Execution in Islamic Banks: A Perspective on Indonesian Law in Light of Islamic Finance Principles. </w:t>
      </w:r>
      <w:r>
        <w:rPr>
          <w:i/>
        </w:rPr>
        <w:t>Mancheste</w:t>
      </w:r>
      <w:r>
        <w:rPr>
          <w:i/>
        </w:rPr>
        <w:t>r Journal of Transnational Islamic Law and Practice</w:t>
      </w:r>
      <w:r>
        <w:t xml:space="preserve">, </w:t>
      </w:r>
      <w:r>
        <w:rPr>
          <w:i/>
        </w:rPr>
        <w:t>20</w:t>
      </w:r>
      <w:r>
        <w:t>(1), 216–233. Scopus.</w:t>
      </w:r>
    </w:p>
    <w:p w:rsidR="00143FDB" w:rsidRDefault="006A44E3">
      <w:pPr>
        <w:spacing w:line="278" w:lineRule="auto"/>
        <w:ind w:left="833" w:right="50" w:hanging="720"/>
        <w:jc w:val="both"/>
      </w:pPr>
      <w:r>
        <w:t>Yunus, U., Salam, A., &amp; Jonah, R. R. (2020). The virtual property as collateral for a loan: A comparison between</w:t>
      </w:r>
      <w:r>
        <w:rPr>
          <w:spacing w:val="-3"/>
        </w:rPr>
        <w:t xml:space="preserve"> </w:t>
      </w:r>
      <w:r>
        <w:t>Indonesia</w:t>
      </w:r>
      <w:r>
        <w:rPr>
          <w:spacing w:val="30"/>
        </w:rPr>
        <w:t xml:space="preserve"> </w:t>
      </w:r>
      <w:r>
        <w:t xml:space="preserve">and United States. </w:t>
      </w:r>
      <w:r>
        <w:rPr>
          <w:i/>
        </w:rPr>
        <w:t>Journal of Theoretical and</w:t>
      </w:r>
      <w:r>
        <w:rPr>
          <w:i/>
          <w:spacing w:val="-6"/>
        </w:rPr>
        <w:t xml:space="preserve"> </w:t>
      </w:r>
      <w:r>
        <w:rPr>
          <w:i/>
        </w:rPr>
        <w:t>Applied</w:t>
      </w:r>
      <w:r>
        <w:rPr>
          <w:i/>
          <w:spacing w:val="-4"/>
        </w:rPr>
        <w:t xml:space="preserve"> </w:t>
      </w:r>
      <w:r>
        <w:rPr>
          <w:i/>
        </w:rPr>
        <w:t>In</w:t>
      </w:r>
      <w:r>
        <w:rPr>
          <w:i/>
        </w:rPr>
        <w:t>formation</w:t>
      </w:r>
      <w:r>
        <w:rPr>
          <w:i/>
          <w:spacing w:val="-3"/>
        </w:rPr>
        <w:t xml:space="preserve"> </w:t>
      </w:r>
      <w:r>
        <w:rPr>
          <w:i/>
        </w:rPr>
        <w:t>Technology</w:t>
      </w:r>
      <w:r>
        <w:t xml:space="preserve">, </w:t>
      </w:r>
      <w:r>
        <w:rPr>
          <w:i/>
        </w:rPr>
        <w:t>98</w:t>
      </w:r>
      <w:r>
        <w:t>(12), 1981–1992.</w:t>
      </w:r>
      <w:r>
        <w:rPr>
          <w:spacing w:val="40"/>
        </w:rPr>
        <w:t xml:space="preserve"> </w:t>
      </w:r>
      <w:r>
        <w:t>Scopus.</w:t>
      </w:r>
    </w:p>
    <w:sectPr w:rsidR="00143FDB">
      <w:pgSz w:w="11920" w:h="16860"/>
      <w:pgMar w:top="1460" w:right="1133" w:bottom="2460" w:left="1133" w:header="282" w:footer="22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44E3" w:rsidRDefault="006A44E3">
      <w:r>
        <w:separator/>
      </w:r>
    </w:p>
  </w:endnote>
  <w:endnote w:type="continuationSeparator" w:id="0">
    <w:p w:rsidR="006A44E3" w:rsidRDefault="006A4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ExtB">
    <w:altName w:val="PMingLiU-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3FDB" w:rsidRDefault="006A44E3">
    <w:pPr>
      <w:pStyle w:val="BodyText"/>
      <w:spacing w:line="14" w:lineRule="auto"/>
      <w:ind w:left="0"/>
      <w:jc w:val="left"/>
      <w:rPr>
        <w:sz w:val="20"/>
      </w:rPr>
    </w:pPr>
    <w:r>
      <w:rPr>
        <w:noProof/>
        <w:sz w:val="20"/>
      </w:rPr>
      <mc:AlternateContent>
        <mc:Choice Requires="wpg">
          <w:drawing>
            <wp:anchor distT="0" distB="0" distL="0" distR="0" simplePos="0" relativeHeight="487376896" behindDoc="1" locked="0" layoutInCell="1" allowOverlap="1">
              <wp:simplePos x="0" y="0"/>
              <wp:positionH relativeFrom="page">
                <wp:posOffset>847089</wp:posOffset>
              </wp:positionH>
              <wp:positionV relativeFrom="page">
                <wp:posOffset>9359265</wp:posOffset>
              </wp:positionV>
              <wp:extent cx="5868670" cy="356870"/>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8670" cy="356870"/>
                        <a:chOff x="0" y="0"/>
                        <a:chExt cx="5868670" cy="356870"/>
                      </a:xfrm>
                    </wpg:grpSpPr>
                    <wps:wsp>
                      <wps:cNvPr id="16" name="Graphic 16"/>
                      <wps:cNvSpPr/>
                      <wps:spPr>
                        <a:xfrm>
                          <a:off x="31432" y="38430"/>
                          <a:ext cx="5803900" cy="274320"/>
                        </a:xfrm>
                        <a:custGeom>
                          <a:avLst/>
                          <a:gdLst/>
                          <a:ahLst/>
                          <a:cxnLst/>
                          <a:rect l="l" t="t" r="r" b="b"/>
                          <a:pathLst>
                            <a:path w="5803900" h="274320">
                              <a:moveTo>
                                <a:pt x="4720590" y="0"/>
                              </a:moveTo>
                              <a:lnTo>
                                <a:pt x="0" y="0"/>
                              </a:lnTo>
                              <a:lnTo>
                                <a:pt x="0" y="274307"/>
                              </a:lnTo>
                              <a:lnTo>
                                <a:pt x="4720590" y="274307"/>
                              </a:lnTo>
                              <a:lnTo>
                                <a:pt x="4720590" y="0"/>
                              </a:lnTo>
                              <a:close/>
                            </a:path>
                            <a:path w="5803900" h="274320">
                              <a:moveTo>
                                <a:pt x="5803836" y="0"/>
                              </a:moveTo>
                              <a:lnTo>
                                <a:pt x="4742116" y="0"/>
                              </a:lnTo>
                              <a:lnTo>
                                <a:pt x="4742116" y="274307"/>
                              </a:lnTo>
                              <a:lnTo>
                                <a:pt x="5803836" y="274307"/>
                              </a:lnTo>
                              <a:lnTo>
                                <a:pt x="5803836" y="0"/>
                              </a:lnTo>
                              <a:close/>
                            </a:path>
                          </a:pathLst>
                        </a:custGeom>
                        <a:solidFill>
                          <a:srgbClr val="923735"/>
                        </a:solidFill>
                      </wps:spPr>
                      <wps:bodyPr wrap="square" lIns="0" tIns="0" rIns="0" bIns="0" rtlCol="0">
                        <a:prstTxWarp prst="textNoShape">
                          <a:avLst/>
                        </a:prstTxWarp>
                        <a:noAutofit/>
                      </wps:bodyPr>
                    </wps:wsp>
                    <wps:wsp>
                      <wps:cNvPr id="17" name="Graphic 17"/>
                      <wps:cNvSpPr/>
                      <wps:spPr>
                        <a:xfrm>
                          <a:off x="4762" y="4762"/>
                          <a:ext cx="5859145" cy="347345"/>
                        </a:xfrm>
                        <a:custGeom>
                          <a:avLst/>
                          <a:gdLst/>
                          <a:ahLst/>
                          <a:cxnLst/>
                          <a:rect l="l" t="t" r="r" b="b"/>
                          <a:pathLst>
                            <a:path w="5859145" h="347345">
                              <a:moveTo>
                                <a:pt x="0" y="347344"/>
                              </a:moveTo>
                              <a:lnTo>
                                <a:pt x="5859145" y="347344"/>
                              </a:lnTo>
                              <a:lnTo>
                                <a:pt x="5859145" y="0"/>
                              </a:lnTo>
                              <a:lnTo>
                                <a:pt x="0" y="0"/>
                              </a:lnTo>
                              <a:lnTo>
                                <a:pt x="0" y="347344"/>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77176AF" id="Group 15" o:spid="_x0000_s1026" style="position:absolute;margin-left:66.7pt;margin-top:736.95pt;width:462.1pt;height:28.1pt;z-index:-15939584;mso-wrap-distance-left:0;mso-wrap-distance-right:0;mso-position-horizontal-relative:page;mso-position-vertical-relative:page" coordsize="58686,3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">
              <v:shape id="Graphic 16" o:spid="_x0000_s1027" style="position:absolute;left:314;top:384;width:58039;height:2743;visibility:visible;mso-wrap-style:square;v-text-anchor:top" coordsize="5803900,27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" path="m4720590,l,,,274307r4720590,l4720590,xem5803836,l4742116,r,274307l5803836,274307,5803836,xe" fillcolor="#923735" stroked="f">
                <v:path arrowok="t"/>
              </v:shape>
              <v:shape id="Graphic 17" o:spid="_x0000_s1028" style="position:absolute;left:47;top:47;width:58592;height:3474;visibility:visible;mso-wrap-style:square;v-text-anchor:top" coordsize="5859145,347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" path="m,347344r5859145,l5859145,,,,,347344xe" filled="f">
                <v:path arrowok="t"/>
              </v:shape>
              <w10:wrap anchorx="page" anchory="page"/>
            </v:group>
          </w:pict>
        </mc:Fallback>
      </mc:AlternateContent>
    </w:r>
    <w:r>
      <w:rPr>
        <w:noProof/>
        <w:sz w:val="20"/>
      </w:rPr>
      <mc:AlternateContent>
        <mc:Choice Requires="wps">
          <w:drawing>
            <wp:anchor distT="0" distB="0" distL="0" distR="0" simplePos="0" relativeHeight="487377408" behindDoc="1" locked="0" layoutInCell="1" allowOverlap="1">
              <wp:simplePos x="0" y="0"/>
              <wp:positionH relativeFrom="page">
                <wp:posOffset>969060</wp:posOffset>
              </wp:positionH>
              <wp:positionV relativeFrom="page">
                <wp:posOffset>9454336</wp:posOffset>
              </wp:positionV>
              <wp:extent cx="4189729" cy="15240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89729" cy="152400"/>
                      </a:xfrm>
                      <a:prstGeom prst="rect">
                        <a:avLst/>
                      </a:prstGeom>
                    </wps:spPr>
                    <wps:txbx>
                      <w:txbxContent>
                        <w:p w:rsidR="00143FDB" w:rsidRDefault="006A44E3">
                          <w:pPr>
                            <w:spacing w:before="12"/>
                            <w:ind w:left="20"/>
                            <w:rPr>
                              <w:i/>
                              <w:sz w:val="18"/>
                            </w:rPr>
                          </w:pPr>
                          <w:r>
                            <w:rPr>
                              <w:b/>
                              <w:color w:val="FFFFFF"/>
                              <w:sz w:val="18"/>
                            </w:rPr>
                            <w:t>Burhan</w:t>
                          </w:r>
                          <w:r>
                            <w:rPr>
                              <w:b/>
                              <w:color w:val="FFFFFF"/>
                              <w:spacing w:val="-13"/>
                              <w:sz w:val="18"/>
                            </w:rPr>
                            <w:t xml:space="preserve"> </w:t>
                          </w:r>
                          <w:r>
                            <w:rPr>
                              <w:b/>
                              <w:color w:val="FFFFFF"/>
                              <w:sz w:val="18"/>
                            </w:rPr>
                            <w:t>Sidabariba</w:t>
                          </w:r>
                          <w:r>
                            <w:rPr>
                              <w:b/>
                              <w:color w:val="FFFFFF"/>
                              <w:spacing w:val="-6"/>
                              <w:sz w:val="18"/>
                            </w:rPr>
                            <w:t xml:space="preserve"> </w:t>
                          </w:r>
                          <w:r>
                            <w:rPr>
                              <w:i/>
                              <w:color w:val="FFFFFF"/>
                              <w:sz w:val="18"/>
                            </w:rPr>
                            <w:t>:</w:t>
                          </w:r>
                          <w:r>
                            <w:rPr>
                              <w:i/>
                              <w:color w:val="FFFFFF"/>
                              <w:spacing w:val="-1"/>
                              <w:sz w:val="18"/>
                            </w:rPr>
                            <w:t xml:space="preserve"> </w:t>
                          </w:r>
                          <w:r>
                            <w:rPr>
                              <w:i/>
                              <w:color w:val="FFFFFF"/>
                              <w:sz w:val="18"/>
                            </w:rPr>
                            <w:t>The</w:t>
                          </w:r>
                          <w:r>
                            <w:rPr>
                              <w:i/>
                              <w:color w:val="FFFFFF"/>
                              <w:spacing w:val="-11"/>
                              <w:sz w:val="18"/>
                            </w:rPr>
                            <w:t xml:space="preserve"> </w:t>
                          </w:r>
                          <w:r>
                            <w:rPr>
                              <w:i/>
                              <w:color w:val="FFFFFF"/>
                              <w:sz w:val="18"/>
                            </w:rPr>
                            <w:t>Legal</w:t>
                          </w:r>
                          <w:r>
                            <w:rPr>
                              <w:i/>
                              <w:color w:val="FFFFFF"/>
                              <w:spacing w:val="2"/>
                              <w:sz w:val="18"/>
                            </w:rPr>
                            <w:t xml:space="preserve"> </w:t>
                          </w:r>
                          <w:r>
                            <w:rPr>
                              <w:i/>
                              <w:color w:val="FFFFFF"/>
                              <w:sz w:val="18"/>
                            </w:rPr>
                            <w:t>Framework</w:t>
                          </w:r>
                          <w:r>
                            <w:rPr>
                              <w:i/>
                              <w:color w:val="FFFFFF"/>
                              <w:spacing w:val="-11"/>
                              <w:sz w:val="18"/>
                            </w:rPr>
                            <w:t xml:space="preserve"> </w:t>
                          </w:r>
                          <w:r>
                            <w:rPr>
                              <w:i/>
                              <w:color w:val="FFFFFF"/>
                              <w:sz w:val="18"/>
                            </w:rPr>
                            <w:t>and</w:t>
                          </w:r>
                          <w:r>
                            <w:rPr>
                              <w:i/>
                              <w:color w:val="FFFFFF"/>
                              <w:spacing w:val="-5"/>
                              <w:sz w:val="18"/>
                            </w:rPr>
                            <w:t xml:space="preserve"> </w:t>
                          </w:r>
                          <w:r>
                            <w:rPr>
                              <w:i/>
                              <w:color w:val="FFFFFF"/>
                              <w:sz w:val="18"/>
                            </w:rPr>
                            <w:t>Commitment</w:t>
                          </w:r>
                          <w:r>
                            <w:rPr>
                              <w:i/>
                              <w:color w:val="FFFFFF"/>
                              <w:spacing w:val="-9"/>
                              <w:sz w:val="18"/>
                            </w:rPr>
                            <w:t xml:space="preserve"> </w:t>
                          </w:r>
                          <w:r>
                            <w:rPr>
                              <w:i/>
                              <w:color w:val="FFFFFF"/>
                              <w:sz w:val="18"/>
                            </w:rPr>
                            <w:t>in</w:t>
                          </w:r>
                          <w:r>
                            <w:rPr>
                              <w:i/>
                              <w:color w:val="FFFFFF"/>
                              <w:spacing w:val="-2"/>
                              <w:sz w:val="18"/>
                            </w:rPr>
                            <w:t xml:space="preserve"> </w:t>
                          </w:r>
                          <w:r>
                            <w:rPr>
                              <w:i/>
                              <w:color w:val="FFFFFF"/>
                              <w:sz w:val="18"/>
                            </w:rPr>
                            <w:t>Bank</w:t>
                          </w:r>
                          <w:r>
                            <w:rPr>
                              <w:i/>
                              <w:color w:val="FFFFFF"/>
                              <w:spacing w:val="2"/>
                              <w:sz w:val="18"/>
                            </w:rPr>
                            <w:t xml:space="preserve"> </w:t>
                          </w:r>
                          <w:r>
                            <w:rPr>
                              <w:i/>
                              <w:color w:val="FFFFFF"/>
                              <w:sz w:val="18"/>
                            </w:rPr>
                            <w:t>Credit</w:t>
                          </w:r>
                          <w:r>
                            <w:rPr>
                              <w:i/>
                              <w:color w:val="FFFFFF"/>
                              <w:spacing w:val="4"/>
                              <w:sz w:val="18"/>
                            </w:rPr>
                            <w:t xml:space="preserve"> </w:t>
                          </w:r>
                          <w:r>
                            <w:rPr>
                              <w:i/>
                              <w:color w:val="FFFFFF"/>
                              <w:spacing w:val="-2"/>
                              <w:sz w:val="18"/>
                            </w:rPr>
                            <w:t>Agreements:</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8" o:spid="_x0000_s1034" type="#_x0000_t202" style="position:absolute;margin-left:76.3pt;margin-top:744.45pt;width:329.9pt;height:12pt;z-index:-15939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" filled="f" stroked="f">
              <v:path arrowok="t"/>
              <v:textbox inset="0,0,0,0">
                <w:txbxContent>
                  <w:p w:rsidR="00143FDB" w:rsidRDefault="006A44E3">
                    <w:pPr>
                      <w:spacing w:before="12"/>
                      <w:ind w:left="20"/>
                      <w:rPr>
                        <w:i/>
                        <w:sz w:val="18"/>
                      </w:rPr>
                    </w:pPr>
                    <w:r>
                      <w:rPr>
                        <w:b/>
                        <w:color w:val="FFFFFF"/>
                        <w:sz w:val="18"/>
                      </w:rPr>
                      <w:t>Burhan</w:t>
                    </w:r>
                    <w:r>
                      <w:rPr>
                        <w:b/>
                        <w:color w:val="FFFFFF"/>
                        <w:spacing w:val="-13"/>
                        <w:sz w:val="18"/>
                      </w:rPr>
                      <w:t xml:space="preserve"> </w:t>
                    </w:r>
                    <w:r>
                      <w:rPr>
                        <w:b/>
                        <w:color w:val="FFFFFF"/>
                        <w:sz w:val="18"/>
                      </w:rPr>
                      <w:t>Sidabariba</w:t>
                    </w:r>
                    <w:r>
                      <w:rPr>
                        <w:b/>
                        <w:color w:val="FFFFFF"/>
                        <w:spacing w:val="-6"/>
                        <w:sz w:val="18"/>
                      </w:rPr>
                      <w:t xml:space="preserve"> </w:t>
                    </w:r>
                    <w:r>
                      <w:rPr>
                        <w:i/>
                        <w:color w:val="FFFFFF"/>
                        <w:sz w:val="18"/>
                      </w:rPr>
                      <w:t>:</w:t>
                    </w:r>
                    <w:r>
                      <w:rPr>
                        <w:i/>
                        <w:color w:val="FFFFFF"/>
                        <w:spacing w:val="-1"/>
                        <w:sz w:val="18"/>
                      </w:rPr>
                      <w:t xml:space="preserve"> </w:t>
                    </w:r>
                    <w:r>
                      <w:rPr>
                        <w:i/>
                        <w:color w:val="FFFFFF"/>
                        <w:sz w:val="18"/>
                      </w:rPr>
                      <w:t>The</w:t>
                    </w:r>
                    <w:r>
                      <w:rPr>
                        <w:i/>
                        <w:color w:val="FFFFFF"/>
                        <w:spacing w:val="-11"/>
                        <w:sz w:val="18"/>
                      </w:rPr>
                      <w:t xml:space="preserve"> </w:t>
                    </w:r>
                    <w:r>
                      <w:rPr>
                        <w:i/>
                        <w:color w:val="FFFFFF"/>
                        <w:sz w:val="18"/>
                      </w:rPr>
                      <w:t>Legal</w:t>
                    </w:r>
                    <w:r>
                      <w:rPr>
                        <w:i/>
                        <w:color w:val="FFFFFF"/>
                        <w:spacing w:val="2"/>
                        <w:sz w:val="18"/>
                      </w:rPr>
                      <w:t xml:space="preserve"> </w:t>
                    </w:r>
                    <w:r>
                      <w:rPr>
                        <w:i/>
                        <w:color w:val="FFFFFF"/>
                        <w:sz w:val="18"/>
                      </w:rPr>
                      <w:t>Framework</w:t>
                    </w:r>
                    <w:r>
                      <w:rPr>
                        <w:i/>
                        <w:color w:val="FFFFFF"/>
                        <w:spacing w:val="-11"/>
                        <w:sz w:val="18"/>
                      </w:rPr>
                      <w:t xml:space="preserve"> </w:t>
                    </w:r>
                    <w:r>
                      <w:rPr>
                        <w:i/>
                        <w:color w:val="FFFFFF"/>
                        <w:sz w:val="18"/>
                      </w:rPr>
                      <w:t>and</w:t>
                    </w:r>
                    <w:r>
                      <w:rPr>
                        <w:i/>
                        <w:color w:val="FFFFFF"/>
                        <w:spacing w:val="-5"/>
                        <w:sz w:val="18"/>
                      </w:rPr>
                      <w:t xml:space="preserve"> </w:t>
                    </w:r>
                    <w:r>
                      <w:rPr>
                        <w:i/>
                        <w:color w:val="FFFFFF"/>
                        <w:sz w:val="18"/>
                      </w:rPr>
                      <w:t>Commitment</w:t>
                    </w:r>
                    <w:r>
                      <w:rPr>
                        <w:i/>
                        <w:color w:val="FFFFFF"/>
                        <w:spacing w:val="-9"/>
                        <w:sz w:val="18"/>
                      </w:rPr>
                      <w:t xml:space="preserve"> </w:t>
                    </w:r>
                    <w:r>
                      <w:rPr>
                        <w:i/>
                        <w:color w:val="FFFFFF"/>
                        <w:sz w:val="18"/>
                      </w:rPr>
                      <w:t>in</w:t>
                    </w:r>
                    <w:r>
                      <w:rPr>
                        <w:i/>
                        <w:color w:val="FFFFFF"/>
                        <w:spacing w:val="-2"/>
                        <w:sz w:val="18"/>
                      </w:rPr>
                      <w:t xml:space="preserve"> </w:t>
                    </w:r>
                    <w:r>
                      <w:rPr>
                        <w:i/>
                        <w:color w:val="FFFFFF"/>
                        <w:sz w:val="18"/>
                      </w:rPr>
                      <w:t>Bank</w:t>
                    </w:r>
                    <w:r>
                      <w:rPr>
                        <w:i/>
                        <w:color w:val="FFFFFF"/>
                        <w:spacing w:val="2"/>
                        <w:sz w:val="18"/>
                      </w:rPr>
                      <w:t xml:space="preserve"> </w:t>
                    </w:r>
                    <w:r>
                      <w:rPr>
                        <w:i/>
                        <w:color w:val="FFFFFF"/>
                        <w:sz w:val="18"/>
                      </w:rPr>
                      <w:t>Credit</w:t>
                    </w:r>
                    <w:r>
                      <w:rPr>
                        <w:i/>
                        <w:color w:val="FFFFFF"/>
                        <w:spacing w:val="4"/>
                        <w:sz w:val="18"/>
                      </w:rPr>
                      <w:t xml:space="preserve"> </w:t>
                    </w:r>
                    <w:r>
                      <w:rPr>
                        <w:i/>
                        <w:color w:val="FFFFFF"/>
                        <w:spacing w:val="-2"/>
                        <w:sz w:val="18"/>
                      </w:rPr>
                      <w:t>Agreements:</w:t>
                    </w:r>
                  </w:p>
                </w:txbxContent>
              </v:textbox>
              <w10:wrap anchorx="page" anchory="page"/>
            </v:shape>
          </w:pict>
        </mc:Fallback>
      </mc:AlternateContent>
    </w:r>
    <w:r>
      <w:rPr>
        <w:noProof/>
        <w:sz w:val="20"/>
      </w:rPr>
      <mc:AlternateContent>
        <mc:Choice Requires="wps">
          <w:drawing>
            <wp:anchor distT="0" distB="0" distL="0" distR="0" simplePos="0" relativeHeight="487377920" behindDoc="1" locked="0" layoutInCell="1" allowOverlap="1">
              <wp:simplePos x="0" y="0"/>
              <wp:positionH relativeFrom="page">
                <wp:posOffset>6068314</wp:posOffset>
              </wp:positionH>
              <wp:positionV relativeFrom="page">
                <wp:posOffset>9458566</wp:posOffset>
              </wp:positionV>
              <wp:extent cx="278130" cy="13970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130" cy="139700"/>
                      </a:xfrm>
                      <a:prstGeom prst="rect">
                        <a:avLst/>
                      </a:prstGeom>
                    </wps:spPr>
                    <wps:txbx>
                      <w:txbxContent>
                        <w:p w:rsidR="00143FDB" w:rsidRDefault="006A44E3">
                          <w:pPr>
                            <w:spacing w:line="220" w:lineRule="exact"/>
                            <w:ind w:left="60"/>
                            <w:rPr>
                              <w:rFonts w:ascii="PMingLiU-ExtB"/>
                              <w:sz w:val="18"/>
                            </w:rPr>
                          </w:pPr>
                          <w:r>
                            <w:rPr>
                              <w:rFonts w:ascii="PMingLiU-ExtB"/>
                              <w:color w:val="FFFFFF"/>
                              <w:spacing w:val="-4"/>
                              <w:sz w:val="18"/>
                            </w:rPr>
                            <w:fldChar w:fldCharType="begin"/>
                          </w:r>
                          <w:r>
                            <w:rPr>
                              <w:rFonts w:ascii="PMingLiU-ExtB"/>
                              <w:color w:val="FFFFFF"/>
                              <w:spacing w:val="-4"/>
                              <w:sz w:val="18"/>
                            </w:rPr>
                            <w:instrText xml:space="preserve"> PAGE </w:instrText>
                          </w:r>
                          <w:r>
                            <w:rPr>
                              <w:rFonts w:ascii="PMingLiU-ExtB"/>
                              <w:color w:val="FFFFFF"/>
                              <w:spacing w:val="-4"/>
                              <w:sz w:val="18"/>
                            </w:rPr>
                            <w:fldChar w:fldCharType="separate"/>
                          </w:r>
                          <w:r w:rsidR="002B044E">
                            <w:rPr>
                              <w:rFonts w:ascii="PMingLiU-ExtB"/>
                              <w:noProof/>
                              <w:color w:val="FFFFFF"/>
                              <w:spacing w:val="-4"/>
                              <w:sz w:val="18"/>
                            </w:rPr>
                            <w:t>4967</w:t>
                          </w:r>
                          <w:r>
                            <w:rPr>
                              <w:rFonts w:ascii="PMingLiU-ExtB"/>
                              <w:color w:val="FFFFFF"/>
                              <w:spacing w:val="-4"/>
                              <w:sz w:val="18"/>
                            </w:rPr>
                            <w:fldChar w:fldCharType="end"/>
                          </w:r>
                        </w:p>
                      </w:txbxContent>
                    </wps:txbx>
                    <wps:bodyPr wrap="square" lIns="0" tIns="0" rIns="0" bIns="0" rtlCol="0">
                      <a:noAutofit/>
                    </wps:bodyPr>
                  </wps:wsp>
                </a:graphicData>
              </a:graphic>
            </wp:anchor>
          </w:drawing>
        </mc:Choice>
        <mc:Fallback>
          <w:pict>
            <v:shape id="Textbox 19" o:spid="_x0000_s1035" type="#_x0000_t202" style="position:absolute;margin-left:477.8pt;margin-top:744.75pt;width:21.9pt;height:11pt;z-index:-15938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" filled="f" stroked="f">
              <v:path arrowok="t"/>
              <v:textbox inset="0,0,0,0">
                <w:txbxContent>
                  <w:p w:rsidR="00143FDB" w:rsidRDefault="006A44E3">
                    <w:pPr>
                      <w:spacing w:line="220" w:lineRule="exact"/>
                      <w:ind w:left="60"/>
                      <w:rPr>
                        <w:rFonts w:ascii="PMingLiU-ExtB"/>
                        <w:sz w:val="18"/>
                      </w:rPr>
                    </w:pPr>
                    <w:r>
                      <w:rPr>
                        <w:rFonts w:ascii="PMingLiU-ExtB"/>
                        <w:color w:val="FFFFFF"/>
                        <w:spacing w:val="-4"/>
                        <w:sz w:val="18"/>
                      </w:rPr>
                      <w:fldChar w:fldCharType="begin"/>
                    </w:r>
                    <w:r>
                      <w:rPr>
                        <w:rFonts w:ascii="PMingLiU-ExtB"/>
                        <w:color w:val="FFFFFF"/>
                        <w:spacing w:val="-4"/>
                        <w:sz w:val="18"/>
                      </w:rPr>
                      <w:instrText xml:space="preserve"> PAGE </w:instrText>
                    </w:r>
                    <w:r>
                      <w:rPr>
                        <w:rFonts w:ascii="PMingLiU-ExtB"/>
                        <w:color w:val="FFFFFF"/>
                        <w:spacing w:val="-4"/>
                        <w:sz w:val="18"/>
                      </w:rPr>
                      <w:fldChar w:fldCharType="separate"/>
                    </w:r>
                    <w:r w:rsidR="002B044E">
                      <w:rPr>
                        <w:rFonts w:ascii="PMingLiU-ExtB"/>
                        <w:noProof/>
                        <w:color w:val="FFFFFF"/>
                        <w:spacing w:val="-4"/>
                        <w:sz w:val="18"/>
                      </w:rPr>
                      <w:t>4967</w:t>
                    </w:r>
                    <w:r>
                      <w:rPr>
                        <w:rFonts w:ascii="PMingLiU-ExtB"/>
                        <w:color w:val="FFFFFF"/>
                        <w:spacing w:val="-4"/>
                        <w:sz w:val="18"/>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3FDB" w:rsidRDefault="00143FDB">
    <w:pPr>
      <w:pStyle w:val="BodyText"/>
      <w:spacing w:line="14" w:lineRule="auto"/>
      <w:ind w:left="0"/>
      <w:jc w:val="left"/>
      <w:rPr>
        <w:sz w:val="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3FDB" w:rsidRDefault="00143FDB">
    <w:pPr>
      <w:pStyle w:val="BodyText"/>
      <w:spacing w:line="14" w:lineRule="auto"/>
      <w:ind w:left="0"/>
      <w:jc w:val="left"/>
      <w:rPr>
        <w:sz w:val="2"/>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3FDB" w:rsidRDefault="006A44E3">
    <w:pPr>
      <w:pStyle w:val="BodyText"/>
      <w:spacing w:line="14" w:lineRule="auto"/>
      <w:ind w:left="0"/>
      <w:jc w:val="left"/>
      <w:rPr>
        <w:sz w:val="20"/>
      </w:rPr>
    </w:pPr>
    <w:r>
      <w:rPr>
        <w:noProof/>
        <w:sz w:val="20"/>
      </w:rPr>
      <mc:AlternateContent>
        <mc:Choice Requires="wpg">
          <w:drawing>
            <wp:anchor distT="0" distB="0" distL="0" distR="0" simplePos="0" relativeHeight="487383040" behindDoc="1" locked="0" layoutInCell="1" allowOverlap="1">
              <wp:simplePos x="0" y="0"/>
              <wp:positionH relativeFrom="page">
                <wp:posOffset>847089</wp:posOffset>
              </wp:positionH>
              <wp:positionV relativeFrom="page">
                <wp:posOffset>9083040</wp:posOffset>
              </wp:positionV>
              <wp:extent cx="5868670" cy="356870"/>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8670" cy="356870"/>
                        <a:chOff x="0" y="0"/>
                        <a:chExt cx="5868670" cy="356870"/>
                      </a:xfrm>
                    </wpg:grpSpPr>
                    <wps:wsp>
                      <wps:cNvPr id="38" name="Graphic 38"/>
                      <wps:cNvSpPr/>
                      <wps:spPr>
                        <a:xfrm>
                          <a:off x="31432" y="38353"/>
                          <a:ext cx="5803900" cy="274320"/>
                        </a:xfrm>
                        <a:custGeom>
                          <a:avLst/>
                          <a:gdLst/>
                          <a:ahLst/>
                          <a:cxnLst/>
                          <a:rect l="l" t="t" r="r" b="b"/>
                          <a:pathLst>
                            <a:path w="5803900" h="274320">
                              <a:moveTo>
                                <a:pt x="4720590" y="0"/>
                              </a:moveTo>
                              <a:lnTo>
                                <a:pt x="0" y="0"/>
                              </a:lnTo>
                              <a:lnTo>
                                <a:pt x="0" y="274320"/>
                              </a:lnTo>
                              <a:lnTo>
                                <a:pt x="4720590" y="274320"/>
                              </a:lnTo>
                              <a:lnTo>
                                <a:pt x="4720590" y="0"/>
                              </a:lnTo>
                              <a:close/>
                            </a:path>
                            <a:path w="5803900" h="274320">
                              <a:moveTo>
                                <a:pt x="5803836" y="0"/>
                              </a:moveTo>
                              <a:lnTo>
                                <a:pt x="4742116" y="0"/>
                              </a:lnTo>
                              <a:lnTo>
                                <a:pt x="4742116" y="274320"/>
                              </a:lnTo>
                              <a:lnTo>
                                <a:pt x="5803836" y="274320"/>
                              </a:lnTo>
                              <a:lnTo>
                                <a:pt x="5803836" y="0"/>
                              </a:lnTo>
                              <a:close/>
                            </a:path>
                          </a:pathLst>
                        </a:custGeom>
                        <a:solidFill>
                          <a:srgbClr val="923735"/>
                        </a:solidFill>
                      </wps:spPr>
                      <wps:bodyPr wrap="square" lIns="0" tIns="0" rIns="0" bIns="0" rtlCol="0">
                        <a:prstTxWarp prst="textNoShape">
                          <a:avLst/>
                        </a:prstTxWarp>
                        <a:noAutofit/>
                      </wps:bodyPr>
                    </wps:wsp>
                    <wps:wsp>
                      <wps:cNvPr id="39" name="Graphic 39"/>
                      <wps:cNvSpPr/>
                      <wps:spPr>
                        <a:xfrm>
                          <a:off x="4762" y="4762"/>
                          <a:ext cx="5859145" cy="347345"/>
                        </a:xfrm>
                        <a:custGeom>
                          <a:avLst/>
                          <a:gdLst/>
                          <a:ahLst/>
                          <a:cxnLst/>
                          <a:rect l="l" t="t" r="r" b="b"/>
                          <a:pathLst>
                            <a:path w="5859145" h="347345">
                              <a:moveTo>
                                <a:pt x="0" y="347344"/>
                              </a:moveTo>
                              <a:lnTo>
                                <a:pt x="5859145" y="347344"/>
                              </a:lnTo>
                              <a:lnTo>
                                <a:pt x="5859145" y="0"/>
                              </a:lnTo>
                              <a:lnTo>
                                <a:pt x="0" y="0"/>
                              </a:lnTo>
                              <a:lnTo>
                                <a:pt x="0" y="347344"/>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C4DF0B5" id="Group 37" o:spid="_x0000_s1026" style="position:absolute;margin-left:66.7pt;margin-top:715.2pt;width:462.1pt;height:28.1pt;z-index:-15933440;mso-wrap-distance-left:0;mso-wrap-distance-right:0;mso-position-horizontal-relative:page;mso-position-vertical-relative:page" coordsize="58686,3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">
              <v:shape id="Graphic 38" o:spid="_x0000_s1027" style="position:absolute;left:314;top:383;width:58039;height:2743;visibility:visible;mso-wrap-style:square;v-text-anchor:top" coordsize="5803900,27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" path="m4720590,l,,,274320r4720590,l4720590,xem5803836,l4742116,r,274320l5803836,274320,5803836,xe" fillcolor="#923735" stroked="f">
                <v:path arrowok="t"/>
              </v:shape>
              <v:shape id="Graphic 39" o:spid="_x0000_s1028" style="position:absolute;left:47;top:47;width:58592;height:3474;visibility:visible;mso-wrap-style:square;v-text-anchor:top" coordsize="5859145,347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" path="m,347344r5859145,l5859145,,,,,347344xe" filled="f">
                <v:path arrowok="t"/>
              </v:shape>
              <w10:wrap anchorx="page" anchory="page"/>
            </v:group>
          </w:pict>
        </mc:Fallback>
      </mc:AlternateContent>
    </w:r>
    <w:r>
      <w:rPr>
        <w:noProof/>
        <w:sz w:val="20"/>
      </w:rPr>
      <mc:AlternateContent>
        <mc:Choice Requires="wps">
          <w:drawing>
            <wp:anchor distT="0" distB="0" distL="0" distR="0" simplePos="0" relativeHeight="487383552" behindDoc="1" locked="0" layoutInCell="1" allowOverlap="1">
              <wp:simplePos x="0" y="0"/>
              <wp:positionH relativeFrom="page">
                <wp:posOffset>969060</wp:posOffset>
              </wp:positionH>
              <wp:positionV relativeFrom="page">
                <wp:posOffset>9183116</wp:posOffset>
              </wp:positionV>
              <wp:extent cx="4706620" cy="152400"/>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06620" cy="152400"/>
                      </a:xfrm>
                      <a:prstGeom prst="rect">
                        <a:avLst/>
                      </a:prstGeom>
                    </wps:spPr>
                    <wps:txbx>
                      <w:txbxContent>
                        <w:p w:rsidR="00143FDB" w:rsidRDefault="006A44E3">
                          <w:pPr>
                            <w:spacing w:before="12"/>
                            <w:ind w:left="20"/>
                            <w:rPr>
                              <w:i/>
                              <w:sz w:val="18"/>
                            </w:rPr>
                          </w:pPr>
                          <w:r>
                            <w:rPr>
                              <w:i/>
                              <w:color w:val="FFFFFF"/>
                              <w:sz w:val="18"/>
                            </w:rPr>
                            <w:t>Burhan</w:t>
                          </w:r>
                          <w:r>
                            <w:rPr>
                              <w:i/>
                              <w:color w:val="FFFFFF"/>
                              <w:spacing w:val="-10"/>
                              <w:sz w:val="18"/>
                            </w:rPr>
                            <w:t xml:space="preserve"> </w:t>
                          </w:r>
                          <w:r>
                            <w:rPr>
                              <w:i/>
                              <w:color w:val="FFFFFF"/>
                              <w:sz w:val="18"/>
                            </w:rPr>
                            <w:t>Sidabariba</w:t>
                          </w:r>
                          <w:r>
                            <w:rPr>
                              <w:i/>
                              <w:color w:val="FFFFFF"/>
                              <w:spacing w:val="-5"/>
                              <w:sz w:val="18"/>
                            </w:rPr>
                            <w:t xml:space="preserve"> </w:t>
                          </w:r>
                          <w:r>
                            <w:rPr>
                              <w:i/>
                              <w:color w:val="FFFFFF"/>
                              <w:sz w:val="18"/>
                            </w:rPr>
                            <w:t>:</w:t>
                          </w:r>
                          <w:r>
                            <w:rPr>
                              <w:i/>
                              <w:color w:val="FFFFFF"/>
                              <w:spacing w:val="-4"/>
                              <w:sz w:val="18"/>
                            </w:rPr>
                            <w:t xml:space="preserve"> </w:t>
                          </w:r>
                          <w:r>
                            <w:rPr>
                              <w:i/>
                              <w:color w:val="FFFFFF"/>
                              <w:sz w:val="18"/>
                            </w:rPr>
                            <w:t>The</w:t>
                          </w:r>
                          <w:r>
                            <w:rPr>
                              <w:i/>
                              <w:color w:val="FFFFFF"/>
                              <w:spacing w:val="-11"/>
                              <w:sz w:val="18"/>
                            </w:rPr>
                            <w:t xml:space="preserve"> </w:t>
                          </w:r>
                          <w:r>
                            <w:rPr>
                              <w:i/>
                              <w:color w:val="FFFFFF"/>
                              <w:sz w:val="18"/>
                            </w:rPr>
                            <w:t>Legal</w:t>
                          </w:r>
                          <w:r>
                            <w:rPr>
                              <w:i/>
                              <w:color w:val="FFFFFF"/>
                              <w:spacing w:val="4"/>
                              <w:sz w:val="18"/>
                            </w:rPr>
                            <w:t xml:space="preserve"> </w:t>
                          </w:r>
                          <w:r>
                            <w:rPr>
                              <w:i/>
                              <w:color w:val="FFFFFF"/>
                              <w:sz w:val="18"/>
                            </w:rPr>
                            <w:t>Framework</w:t>
                          </w:r>
                          <w:r>
                            <w:rPr>
                              <w:i/>
                              <w:color w:val="FFFFFF"/>
                              <w:spacing w:val="-12"/>
                              <w:sz w:val="18"/>
                            </w:rPr>
                            <w:t xml:space="preserve"> </w:t>
                          </w:r>
                          <w:r>
                            <w:rPr>
                              <w:i/>
                              <w:color w:val="FFFFFF"/>
                              <w:sz w:val="18"/>
                            </w:rPr>
                            <w:t>and</w:t>
                          </w:r>
                          <w:r>
                            <w:rPr>
                              <w:i/>
                              <w:color w:val="FFFFFF"/>
                              <w:spacing w:val="-5"/>
                              <w:sz w:val="18"/>
                            </w:rPr>
                            <w:t xml:space="preserve"> </w:t>
                          </w:r>
                          <w:r>
                            <w:rPr>
                              <w:i/>
                              <w:color w:val="FFFFFF"/>
                              <w:sz w:val="18"/>
                            </w:rPr>
                            <w:t>Commitment</w:t>
                          </w:r>
                          <w:r>
                            <w:rPr>
                              <w:i/>
                              <w:color w:val="FFFFFF"/>
                              <w:spacing w:val="-9"/>
                              <w:sz w:val="18"/>
                            </w:rPr>
                            <w:t xml:space="preserve"> </w:t>
                          </w:r>
                          <w:r>
                            <w:rPr>
                              <w:i/>
                              <w:color w:val="FFFFFF"/>
                              <w:sz w:val="18"/>
                            </w:rPr>
                            <w:t>in</w:t>
                          </w:r>
                          <w:r>
                            <w:rPr>
                              <w:i/>
                              <w:color w:val="FFFFFF"/>
                              <w:spacing w:val="-3"/>
                              <w:sz w:val="18"/>
                            </w:rPr>
                            <w:t xml:space="preserve"> </w:t>
                          </w:r>
                          <w:r>
                            <w:rPr>
                              <w:i/>
                              <w:color w:val="FFFFFF"/>
                              <w:sz w:val="18"/>
                            </w:rPr>
                            <w:t>Bank</w:t>
                          </w:r>
                          <w:r>
                            <w:rPr>
                              <w:i/>
                              <w:color w:val="FFFFFF"/>
                              <w:spacing w:val="1"/>
                              <w:sz w:val="18"/>
                            </w:rPr>
                            <w:t xml:space="preserve"> </w:t>
                          </w:r>
                          <w:r>
                            <w:rPr>
                              <w:i/>
                              <w:color w:val="FFFFFF"/>
                              <w:sz w:val="18"/>
                            </w:rPr>
                            <w:t>Credit</w:t>
                          </w:r>
                          <w:r>
                            <w:rPr>
                              <w:i/>
                              <w:color w:val="FFFFFF"/>
                              <w:spacing w:val="4"/>
                              <w:sz w:val="18"/>
                            </w:rPr>
                            <w:t xml:space="preserve"> </w:t>
                          </w:r>
                          <w:r>
                            <w:rPr>
                              <w:i/>
                              <w:color w:val="FFFFFF"/>
                              <w:sz w:val="18"/>
                            </w:rPr>
                            <w:t>Agreements:</w:t>
                          </w:r>
                          <w:r>
                            <w:rPr>
                              <w:i/>
                              <w:color w:val="FFFFFF"/>
                              <w:spacing w:val="9"/>
                              <w:sz w:val="18"/>
                            </w:rPr>
                            <w:t xml:space="preserve"> </w:t>
                          </w:r>
                          <w:r>
                            <w:rPr>
                              <w:i/>
                              <w:color w:val="FFFFFF"/>
                              <w:spacing w:val="-2"/>
                              <w:sz w:val="18"/>
                            </w:rPr>
                            <w:t>Empirical…</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0" o:spid="_x0000_s1042" type="#_x0000_t202" style="position:absolute;margin-left:76.3pt;margin-top:723.1pt;width:370.6pt;height:12pt;z-index:-15932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" filled="f" stroked="f">
              <v:path arrowok="t"/>
              <v:textbox inset="0,0,0,0">
                <w:txbxContent>
                  <w:p w:rsidR="00143FDB" w:rsidRDefault="006A44E3">
                    <w:pPr>
                      <w:spacing w:before="12"/>
                      <w:ind w:left="20"/>
                      <w:rPr>
                        <w:i/>
                        <w:sz w:val="18"/>
                      </w:rPr>
                    </w:pPr>
                    <w:r>
                      <w:rPr>
                        <w:i/>
                        <w:color w:val="FFFFFF"/>
                        <w:sz w:val="18"/>
                      </w:rPr>
                      <w:t>Burhan</w:t>
                    </w:r>
                    <w:r>
                      <w:rPr>
                        <w:i/>
                        <w:color w:val="FFFFFF"/>
                        <w:spacing w:val="-10"/>
                        <w:sz w:val="18"/>
                      </w:rPr>
                      <w:t xml:space="preserve"> </w:t>
                    </w:r>
                    <w:r>
                      <w:rPr>
                        <w:i/>
                        <w:color w:val="FFFFFF"/>
                        <w:sz w:val="18"/>
                      </w:rPr>
                      <w:t>Sidabariba</w:t>
                    </w:r>
                    <w:r>
                      <w:rPr>
                        <w:i/>
                        <w:color w:val="FFFFFF"/>
                        <w:spacing w:val="-5"/>
                        <w:sz w:val="18"/>
                      </w:rPr>
                      <w:t xml:space="preserve"> </w:t>
                    </w:r>
                    <w:r>
                      <w:rPr>
                        <w:i/>
                        <w:color w:val="FFFFFF"/>
                        <w:sz w:val="18"/>
                      </w:rPr>
                      <w:t>:</w:t>
                    </w:r>
                    <w:r>
                      <w:rPr>
                        <w:i/>
                        <w:color w:val="FFFFFF"/>
                        <w:spacing w:val="-4"/>
                        <w:sz w:val="18"/>
                      </w:rPr>
                      <w:t xml:space="preserve"> </w:t>
                    </w:r>
                    <w:r>
                      <w:rPr>
                        <w:i/>
                        <w:color w:val="FFFFFF"/>
                        <w:sz w:val="18"/>
                      </w:rPr>
                      <w:t>The</w:t>
                    </w:r>
                    <w:r>
                      <w:rPr>
                        <w:i/>
                        <w:color w:val="FFFFFF"/>
                        <w:spacing w:val="-11"/>
                        <w:sz w:val="18"/>
                      </w:rPr>
                      <w:t xml:space="preserve"> </w:t>
                    </w:r>
                    <w:r>
                      <w:rPr>
                        <w:i/>
                        <w:color w:val="FFFFFF"/>
                        <w:sz w:val="18"/>
                      </w:rPr>
                      <w:t>Legal</w:t>
                    </w:r>
                    <w:r>
                      <w:rPr>
                        <w:i/>
                        <w:color w:val="FFFFFF"/>
                        <w:spacing w:val="4"/>
                        <w:sz w:val="18"/>
                      </w:rPr>
                      <w:t xml:space="preserve"> </w:t>
                    </w:r>
                    <w:r>
                      <w:rPr>
                        <w:i/>
                        <w:color w:val="FFFFFF"/>
                        <w:sz w:val="18"/>
                      </w:rPr>
                      <w:t>Framework</w:t>
                    </w:r>
                    <w:r>
                      <w:rPr>
                        <w:i/>
                        <w:color w:val="FFFFFF"/>
                        <w:spacing w:val="-12"/>
                        <w:sz w:val="18"/>
                      </w:rPr>
                      <w:t xml:space="preserve"> </w:t>
                    </w:r>
                    <w:r>
                      <w:rPr>
                        <w:i/>
                        <w:color w:val="FFFFFF"/>
                        <w:sz w:val="18"/>
                      </w:rPr>
                      <w:t>and</w:t>
                    </w:r>
                    <w:r>
                      <w:rPr>
                        <w:i/>
                        <w:color w:val="FFFFFF"/>
                        <w:spacing w:val="-5"/>
                        <w:sz w:val="18"/>
                      </w:rPr>
                      <w:t xml:space="preserve"> </w:t>
                    </w:r>
                    <w:r>
                      <w:rPr>
                        <w:i/>
                        <w:color w:val="FFFFFF"/>
                        <w:sz w:val="18"/>
                      </w:rPr>
                      <w:t>Commitment</w:t>
                    </w:r>
                    <w:r>
                      <w:rPr>
                        <w:i/>
                        <w:color w:val="FFFFFF"/>
                        <w:spacing w:val="-9"/>
                        <w:sz w:val="18"/>
                      </w:rPr>
                      <w:t xml:space="preserve"> </w:t>
                    </w:r>
                    <w:r>
                      <w:rPr>
                        <w:i/>
                        <w:color w:val="FFFFFF"/>
                        <w:sz w:val="18"/>
                      </w:rPr>
                      <w:t>in</w:t>
                    </w:r>
                    <w:r>
                      <w:rPr>
                        <w:i/>
                        <w:color w:val="FFFFFF"/>
                        <w:spacing w:val="-3"/>
                        <w:sz w:val="18"/>
                      </w:rPr>
                      <w:t xml:space="preserve"> </w:t>
                    </w:r>
                    <w:r>
                      <w:rPr>
                        <w:i/>
                        <w:color w:val="FFFFFF"/>
                        <w:sz w:val="18"/>
                      </w:rPr>
                      <w:t>Bank</w:t>
                    </w:r>
                    <w:r>
                      <w:rPr>
                        <w:i/>
                        <w:color w:val="FFFFFF"/>
                        <w:spacing w:val="1"/>
                        <w:sz w:val="18"/>
                      </w:rPr>
                      <w:t xml:space="preserve"> </w:t>
                    </w:r>
                    <w:r>
                      <w:rPr>
                        <w:i/>
                        <w:color w:val="FFFFFF"/>
                        <w:sz w:val="18"/>
                      </w:rPr>
                      <w:t>Credit</w:t>
                    </w:r>
                    <w:r>
                      <w:rPr>
                        <w:i/>
                        <w:color w:val="FFFFFF"/>
                        <w:spacing w:val="4"/>
                        <w:sz w:val="18"/>
                      </w:rPr>
                      <w:t xml:space="preserve"> </w:t>
                    </w:r>
                    <w:r>
                      <w:rPr>
                        <w:i/>
                        <w:color w:val="FFFFFF"/>
                        <w:sz w:val="18"/>
                      </w:rPr>
                      <w:t>Agreements:</w:t>
                    </w:r>
                    <w:r>
                      <w:rPr>
                        <w:i/>
                        <w:color w:val="FFFFFF"/>
                        <w:spacing w:val="9"/>
                        <w:sz w:val="18"/>
                      </w:rPr>
                      <w:t xml:space="preserve"> </w:t>
                    </w:r>
                    <w:r>
                      <w:rPr>
                        <w:i/>
                        <w:color w:val="FFFFFF"/>
                        <w:spacing w:val="-2"/>
                        <w:sz w:val="18"/>
                      </w:rPr>
                      <w:t>Empirical…</w:t>
                    </w:r>
                  </w:p>
                </w:txbxContent>
              </v:textbox>
              <w10:wrap anchorx="page" anchory="page"/>
            </v:shape>
          </w:pict>
        </mc:Fallback>
      </mc:AlternateContent>
    </w:r>
    <w:r>
      <w:rPr>
        <w:noProof/>
        <w:sz w:val="20"/>
      </w:rPr>
      <mc:AlternateContent>
        <mc:Choice Requires="wps">
          <w:drawing>
            <wp:anchor distT="0" distB="0" distL="0" distR="0" simplePos="0" relativeHeight="487384064" behindDoc="1" locked="0" layoutInCell="1" allowOverlap="1">
              <wp:simplePos x="0" y="0"/>
              <wp:positionH relativeFrom="page">
                <wp:posOffset>6068314</wp:posOffset>
              </wp:positionH>
              <wp:positionV relativeFrom="page">
                <wp:posOffset>9191917</wp:posOffset>
              </wp:positionV>
              <wp:extent cx="290195" cy="139700"/>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39700"/>
                      </a:xfrm>
                      <a:prstGeom prst="rect">
                        <a:avLst/>
                      </a:prstGeom>
                    </wps:spPr>
                    <wps:txbx>
                      <w:txbxContent>
                        <w:p w:rsidR="00143FDB" w:rsidRDefault="006A44E3">
                          <w:pPr>
                            <w:spacing w:line="220" w:lineRule="exact"/>
                            <w:ind w:left="60"/>
                            <w:rPr>
                              <w:rFonts w:ascii="PMingLiU-ExtB"/>
                              <w:sz w:val="18"/>
                            </w:rPr>
                          </w:pPr>
                          <w:r>
                            <w:rPr>
                              <w:rFonts w:ascii="PMingLiU-ExtB"/>
                              <w:color w:val="FFFFFF"/>
                              <w:spacing w:val="-4"/>
                              <w:sz w:val="18"/>
                            </w:rPr>
                            <w:fldChar w:fldCharType="begin"/>
                          </w:r>
                          <w:r>
                            <w:rPr>
                              <w:rFonts w:ascii="PMingLiU-ExtB"/>
                              <w:color w:val="FFFFFF"/>
                              <w:spacing w:val="-4"/>
                              <w:sz w:val="18"/>
                            </w:rPr>
                            <w:instrText xml:space="preserve"> PAGE </w:instrText>
                          </w:r>
                          <w:r>
                            <w:rPr>
                              <w:rFonts w:ascii="PMingLiU-ExtB"/>
                              <w:color w:val="FFFFFF"/>
                              <w:spacing w:val="-4"/>
                              <w:sz w:val="18"/>
                            </w:rPr>
                            <w:fldChar w:fldCharType="separate"/>
                          </w:r>
                          <w:r w:rsidR="002B044E">
                            <w:rPr>
                              <w:rFonts w:ascii="PMingLiU-ExtB"/>
                              <w:noProof/>
                              <w:color w:val="FFFFFF"/>
                              <w:spacing w:val="-4"/>
                              <w:sz w:val="18"/>
                            </w:rPr>
                            <w:t>4973</w:t>
                          </w:r>
                          <w:r>
                            <w:rPr>
                              <w:rFonts w:ascii="PMingLiU-ExtB"/>
                              <w:color w:val="FFFFFF"/>
                              <w:spacing w:val="-4"/>
                              <w:sz w:val="18"/>
                            </w:rPr>
                            <w:fldChar w:fldCharType="end"/>
                          </w:r>
                        </w:p>
                      </w:txbxContent>
                    </wps:txbx>
                    <wps:bodyPr wrap="square" lIns="0" tIns="0" rIns="0" bIns="0" rtlCol="0">
                      <a:noAutofit/>
                    </wps:bodyPr>
                  </wps:wsp>
                </a:graphicData>
              </a:graphic>
            </wp:anchor>
          </w:drawing>
        </mc:Choice>
        <mc:Fallback>
          <w:pict>
            <v:shape id="Textbox 41" o:spid="_x0000_s1043" type="#_x0000_t202" style="position:absolute;margin-left:477.8pt;margin-top:723.75pt;width:22.85pt;height:11pt;z-index:-15932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" filled="f" stroked="f">
              <v:path arrowok="t"/>
              <v:textbox inset="0,0,0,0">
                <w:txbxContent>
                  <w:p w:rsidR="00143FDB" w:rsidRDefault="006A44E3">
                    <w:pPr>
                      <w:spacing w:line="220" w:lineRule="exact"/>
                      <w:ind w:left="60"/>
                      <w:rPr>
                        <w:rFonts w:ascii="PMingLiU-ExtB"/>
                        <w:sz w:val="18"/>
                      </w:rPr>
                    </w:pPr>
                    <w:r>
                      <w:rPr>
                        <w:rFonts w:ascii="PMingLiU-ExtB"/>
                        <w:color w:val="FFFFFF"/>
                        <w:spacing w:val="-4"/>
                        <w:sz w:val="18"/>
                      </w:rPr>
                      <w:fldChar w:fldCharType="begin"/>
                    </w:r>
                    <w:r>
                      <w:rPr>
                        <w:rFonts w:ascii="PMingLiU-ExtB"/>
                        <w:color w:val="FFFFFF"/>
                        <w:spacing w:val="-4"/>
                        <w:sz w:val="18"/>
                      </w:rPr>
                      <w:instrText xml:space="preserve"> PAGE </w:instrText>
                    </w:r>
                    <w:r>
                      <w:rPr>
                        <w:rFonts w:ascii="PMingLiU-ExtB"/>
                        <w:color w:val="FFFFFF"/>
                        <w:spacing w:val="-4"/>
                        <w:sz w:val="18"/>
                      </w:rPr>
                      <w:fldChar w:fldCharType="separate"/>
                    </w:r>
                    <w:r w:rsidR="002B044E">
                      <w:rPr>
                        <w:rFonts w:ascii="PMingLiU-ExtB"/>
                        <w:noProof/>
                        <w:color w:val="FFFFFF"/>
                        <w:spacing w:val="-4"/>
                        <w:sz w:val="18"/>
                      </w:rPr>
                      <w:t>4973</w:t>
                    </w:r>
                    <w:r>
                      <w:rPr>
                        <w:rFonts w:ascii="PMingLiU-ExtB"/>
                        <w:color w:val="FFFFFF"/>
                        <w:spacing w:val="-4"/>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44E3" w:rsidRDefault="006A44E3">
      <w:r>
        <w:separator/>
      </w:r>
    </w:p>
  </w:footnote>
  <w:footnote w:type="continuationSeparator" w:id="0">
    <w:p w:rsidR="006A44E3" w:rsidRDefault="006A44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3FDB" w:rsidRDefault="006A44E3">
    <w:pPr>
      <w:pStyle w:val="BodyText"/>
      <w:spacing w:line="14" w:lineRule="auto"/>
      <w:ind w:left="0"/>
      <w:jc w:val="left"/>
      <w:rPr>
        <w:sz w:val="20"/>
      </w:rPr>
    </w:pPr>
    <w:r>
      <w:rPr>
        <w:noProof/>
        <w:sz w:val="20"/>
      </w:rPr>
      <mc:AlternateContent>
        <mc:Choice Requires="wpg">
          <w:drawing>
            <wp:anchor distT="0" distB="0" distL="0" distR="0" simplePos="0" relativeHeight="487373824" behindDoc="1" locked="0" layoutInCell="1" allowOverlap="1">
              <wp:simplePos x="0" y="0"/>
              <wp:positionH relativeFrom="page">
                <wp:posOffset>1070610</wp:posOffset>
              </wp:positionH>
              <wp:positionV relativeFrom="page">
                <wp:posOffset>179324</wp:posOffset>
              </wp:positionV>
              <wp:extent cx="5338445" cy="38481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38445" cy="384810"/>
                        <a:chOff x="0" y="0"/>
                        <a:chExt cx="5338445" cy="384810"/>
                      </a:xfrm>
                    </wpg:grpSpPr>
                    <wps:wsp>
                      <wps:cNvPr id="2" name="Graphic 2"/>
                      <wps:cNvSpPr/>
                      <wps:spPr>
                        <a:xfrm>
                          <a:off x="0" y="0"/>
                          <a:ext cx="1391285" cy="384810"/>
                        </a:xfrm>
                        <a:custGeom>
                          <a:avLst/>
                          <a:gdLst/>
                          <a:ahLst/>
                          <a:cxnLst/>
                          <a:rect l="l" t="t" r="r" b="b"/>
                          <a:pathLst>
                            <a:path w="1391285" h="384810">
                              <a:moveTo>
                                <a:pt x="1391285" y="0"/>
                              </a:moveTo>
                              <a:lnTo>
                                <a:pt x="8890" y="0"/>
                              </a:lnTo>
                              <a:lnTo>
                                <a:pt x="8890" y="378460"/>
                              </a:lnTo>
                              <a:lnTo>
                                <a:pt x="0" y="378460"/>
                              </a:lnTo>
                              <a:lnTo>
                                <a:pt x="0" y="384810"/>
                              </a:lnTo>
                              <a:lnTo>
                                <a:pt x="1391285" y="384810"/>
                              </a:lnTo>
                              <a:lnTo>
                                <a:pt x="1391285" y="378460"/>
                              </a:lnTo>
                              <a:lnTo>
                                <a:pt x="1391285" y="0"/>
                              </a:lnTo>
                              <a:close/>
                            </a:path>
                          </a:pathLst>
                        </a:custGeom>
                        <a:solidFill>
                          <a:srgbClr val="923634"/>
                        </a:solidFill>
                      </wps:spPr>
                      <wps:bodyPr wrap="square" lIns="0" tIns="0" rIns="0" bIns="0" rtlCol="0">
                        <a:prstTxWarp prst="textNoShape">
                          <a:avLst/>
                        </a:prstTxWarp>
                        <a:noAutofit/>
                      </wps:bodyPr>
                    </wps:wsp>
                    <wps:wsp>
                      <wps:cNvPr id="3" name="Graphic 3"/>
                      <wps:cNvSpPr/>
                      <wps:spPr>
                        <a:xfrm>
                          <a:off x="1383030" y="377570"/>
                          <a:ext cx="3955415" cy="6350"/>
                        </a:xfrm>
                        <a:custGeom>
                          <a:avLst/>
                          <a:gdLst/>
                          <a:ahLst/>
                          <a:cxnLst/>
                          <a:rect l="l" t="t" r="r" b="b"/>
                          <a:pathLst>
                            <a:path w="3955415" h="6350">
                              <a:moveTo>
                                <a:pt x="3955415" y="0"/>
                              </a:moveTo>
                              <a:lnTo>
                                <a:pt x="0" y="0"/>
                              </a:lnTo>
                              <a:lnTo>
                                <a:pt x="0" y="6350"/>
                              </a:lnTo>
                              <a:lnTo>
                                <a:pt x="3955415" y="6350"/>
                              </a:lnTo>
                              <a:lnTo>
                                <a:pt x="395541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9B6A7F7" id="Group 1" o:spid="_x0000_s1026" style="position:absolute;margin-left:84.3pt;margin-top:14.1pt;width:420.35pt;height:30.3pt;z-index:-15942656;mso-wrap-distance-left:0;mso-wrap-distance-right:0;mso-position-horizontal-relative:page;mso-position-vertical-relative:page" coordsize="53384,3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">
              <v:shape id="Graphic 2" o:spid="_x0000_s1027" style="position:absolute;width:13912;height:3848;visibility:visible;mso-wrap-style:square;v-text-anchor:top" coordsize="1391285,384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" path="m1391285,l8890,r,378460l,378460r,6350l1391285,384810r,-6350l1391285,xe" fillcolor="#923634" stroked="f">
                <v:path arrowok="t"/>
              </v:shape>
              <v:shape id="Graphic 3" o:spid="_x0000_s1028" style="position:absolute;left:13830;top:3775;width:39554;height:64;visibility:visible;mso-wrap-style:square;v-text-anchor:top" coordsize="39554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" path="m3955415,l,,,6350r3955415,l3955415,xe" fillcolor="black" stroked="f">
                <v:path arrowok="t"/>
              </v:shape>
              <w10:wrap anchorx="page" anchory="page"/>
            </v:group>
          </w:pict>
        </mc:Fallback>
      </mc:AlternateContent>
    </w:r>
    <w:r>
      <w:rPr>
        <w:noProof/>
        <w:sz w:val="20"/>
      </w:rPr>
      <mc:AlternateContent>
        <mc:Choice Requires="wps">
          <w:drawing>
            <wp:anchor distT="0" distB="0" distL="0" distR="0" simplePos="0" relativeHeight="487374336" behindDoc="1" locked="0" layoutInCell="1" allowOverlap="1">
              <wp:simplePos x="0" y="0"/>
              <wp:positionH relativeFrom="page">
                <wp:posOffset>1150416</wp:posOffset>
              </wp:positionH>
              <wp:positionV relativeFrom="page">
                <wp:posOffset>203538</wp:posOffset>
              </wp:positionV>
              <wp:extent cx="1083945" cy="31940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3945" cy="319405"/>
                      </a:xfrm>
                      <a:prstGeom prst="rect">
                        <a:avLst/>
                      </a:prstGeom>
                    </wps:spPr>
                    <wps:txbx>
                      <w:txbxContent>
                        <w:p w:rsidR="00143FDB" w:rsidRDefault="006A44E3">
                          <w:pPr>
                            <w:spacing w:before="10"/>
                            <w:ind w:left="305"/>
                            <w:rPr>
                              <w:b/>
                              <w:sz w:val="24"/>
                            </w:rPr>
                          </w:pPr>
                          <w:r>
                            <w:rPr>
                              <w:b/>
                              <w:w w:val="90"/>
                              <w:sz w:val="24"/>
                            </w:rPr>
                            <w:t>Pena</w:t>
                          </w:r>
                          <w:r>
                            <w:rPr>
                              <w:b/>
                              <w:spacing w:val="29"/>
                              <w:sz w:val="24"/>
                            </w:rPr>
                            <w:t xml:space="preserve"> </w:t>
                          </w:r>
                          <w:r>
                            <w:rPr>
                              <w:b/>
                              <w:spacing w:val="-2"/>
                              <w:w w:val="95"/>
                              <w:sz w:val="24"/>
                            </w:rPr>
                            <w:t>Justisia:</w:t>
                          </w:r>
                        </w:p>
                        <w:p w:rsidR="00143FDB" w:rsidRDefault="006A44E3">
                          <w:pPr>
                            <w:spacing w:before="12"/>
                            <w:ind w:left="20"/>
                            <w:rPr>
                              <w:b/>
                              <w:sz w:val="16"/>
                            </w:rPr>
                          </w:pPr>
                          <w:r>
                            <w:rPr>
                              <w:b/>
                              <w:spacing w:val="-2"/>
                              <w:sz w:val="16"/>
                            </w:rPr>
                            <w:t>Vol.</w:t>
                          </w:r>
                          <w:r>
                            <w:rPr>
                              <w:b/>
                              <w:spacing w:val="-8"/>
                              <w:sz w:val="16"/>
                            </w:rPr>
                            <w:t xml:space="preserve"> </w:t>
                          </w:r>
                          <w:r>
                            <w:rPr>
                              <w:b/>
                              <w:spacing w:val="-2"/>
                              <w:sz w:val="16"/>
                            </w:rPr>
                            <w:t>24,</w:t>
                          </w:r>
                          <w:r>
                            <w:rPr>
                              <w:b/>
                              <w:spacing w:val="-5"/>
                              <w:sz w:val="16"/>
                            </w:rPr>
                            <w:t xml:space="preserve"> </w:t>
                          </w:r>
                          <w:r>
                            <w:rPr>
                              <w:b/>
                              <w:spacing w:val="-2"/>
                              <w:sz w:val="16"/>
                            </w:rPr>
                            <w:t>No.</w:t>
                          </w:r>
                          <w:r>
                            <w:rPr>
                              <w:b/>
                              <w:spacing w:val="-5"/>
                              <w:sz w:val="16"/>
                            </w:rPr>
                            <w:t xml:space="preserve"> </w:t>
                          </w:r>
                          <w:r w:rsidR="002B044E">
                            <w:rPr>
                              <w:b/>
                              <w:spacing w:val="-5"/>
                              <w:sz w:val="16"/>
                            </w:rPr>
                            <w:t>1</w:t>
                          </w:r>
                          <w:r>
                            <w:rPr>
                              <w:b/>
                              <w:spacing w:val="-2"/>
                              <w:sz w:val="16"/>
                            </w:rPr>
                            <w:t>,</w:t>
                          </w:r>
                          <w:r>
                            <w:rPr>
                              <w:b/>
                              <w:spacing w:val="-7"/>
                              <w:sz w:val="16"/>
                            </w:rPr>
                            <w:t xml:space="preserve"> </w:t>
                          </w:r>
                          <w:r>
                            <w:rPr>
                              <w:b/>
                              <w:spacing w:val="-2"/>
                              <w:sz w:val="16"/>
                            </w:rPr>
                            <w:t>June,</w:t>
                          </w:r>
                          <w:r>
                            <w:rPr>
                              <w:b/>
                              <w:spacing w:val="-5"/>
                              <w:sz w:val="16"/>
                            </w:rPr>
                            <w:t xml:space="preserve"> </w:t>
                          </w:r>
                          <w:r>
                            <w:rPr>
                              <w:b/>
                              <w:spacing w:val="-4"/>
                              <w:sz w:val="16"/>
                            </w:rPr>
                            <w:t>2025</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30" type="#_x0000_t202" style="position:absolute;margin-left:90.6pt;margin-top:16.05pt;width:85.35pt;height:25.15pt;z-index:-15942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" filled="f" stroked="f">
              <v:path arrowok="t"/>
              <v:textbox inset="0,0,0,0">
                <w:txbxContent>
                  <w:p w:rsidR="00143FDB" w:rsidRDefault="006A44E3">
                    <w:pPr>
                      <w:spacing w:before="10"/>
                      <w:ind w:left="305"/>
                      <w:rPr>
                        <w:b/>
                        <w:sz w:val="24"/>
                      </w:rPr>
                    </w:pPr>
                    <w:r>
                      <w:rPr>
                        <w:b/>
                        <w:w w:val="90"/>
                        <w:sz w:val="24"/>
                      </w:rPr>
                      <w:t>Pena</w:t>
                    </w:r>
                    <w:r>
                      <w:rPr>
                        <w:b/>
                        <w:spacing w:val="29"/>
                        <w:sz w:val="24"/>
                      </w:rPr>
                      <w:t xml:space="preserve"> </w:t>
                    </w:r>
                    <w:r>
                      <w:rPr>
                        <w:b/>
                        <w:spacing w:val="-2"/>
                        <w:w w:val="95"/>
                        <w:sz w:val="24"/>
                      </w:rPr>
                      <w:t>Justisia:</w:t>
                    </w:r>
                  </w:p>
                  <w:p w:rsidR="00143FDB" w:rsidRDefault="006A44E3">
                    <w:pPr>
                      <w:spacing w:before="12"/>
                      <w:ind w:left="20"/>
                      <w:rPr>
                        <w:b/>
                        <w:sz w:val="16"/>
                      </w:rPr>
                    </w:pPr>
                    <w:r>
                      <w:rPr>
                        <w:b/>
                        <w:spacing w:val="-2"/>
                        <w:sz w:val="16"/>
                      </w:rPr>
                      <w:t>Vol.</w:t>
                    </w:r>
                    <w:r>
                      <w:rPr>
                        <w:b/>
                        <w:spacing w:val="-8"/>
                        <w:sz w:val="16"/>
                      </w:rPr>
                      <w:t xml:space="preserve"> </w:t>
                    </w:r>
                    <w:r>
                      <w:rPr>
                        <w:b/>
                        <w:spacing w:val="-2"/>
                        <w:sz w:val="16"/>
                      </w:rPr>
                      <w:t>24,</w:t>
                    </w:r>
                    <w:r>
                      <w:rPr>
                        <w:b/>
                        <w:spacing w:val="-5"/>
                        <w:sz w:val="16"/>
                      </w:rPr>
                      <w:t xml:space="preserve"> </w:t>
                    </w:r>
                    <w:r>
                      <w:rPr>
                        <w:b/>
                        <w:spacing w:val="-2"/>
                        <w:sz w:val="16"/>
                      </w:rPr>
                      <w:t>No.</w:t>
                    </w:r>
                    <w:r>
                      <w:rPr>
                        <w:b/>
                        <w:spacing w:val="-5"/>
                        <w:sz w:val="16"/>
                      </w:rPr>
                      <w:t xml:space="preserve"> </w:t>
                    </w:r>
                    <w:r w:rsidR="002B044E">
                      <w:rPr>
                        <w:b/>
                        <w:spacing w:val="-5"/>
                        <w:sz w:val="16"/>
                      </w:rPr>
                      <w:t>1</w:t>
                    </w:r>
                    <w:r>
                      <w:rPr>
                        <w:b/>
                        <w:spacing w:val="-2"/>
                        <w:sz w:val="16"/>
                      </w:rPr>
                      <w:t>,</w:t>
                    </w:r>
                    <w:r>
                      <w:rPr>
                        <w:b/>
                        <w:spacing w:val="-7"/>
                        <w:sz w:val="16"/>
                      </w:rPr>
                      <w:t xml:space="preserve"> </w:t>
                    </w:r>
                    <w:r>
                      <w:rPr>
                        <w:b/>
                        <w:spacing w:val="-2"/>
                        <w:sz w:val="16"/>
                      </w:rPr>
                      <w:t>June,</w:t>
                    </w:r>
                    <w:r>
                      <w:rPr>
                        <w:b/>
                        <w:spacing w:val="-5"/>
                        <w:sz w:val="16"/>
                      </w:rPr>
                      <w:t xml:space="preserve"> </w:t>
                    </w:r>
                    <w:r>
                      <w:rPr>
                        <w:b/>
                        <w:spacing w:val="-4"/>
                        <w:sz w:val="16"/>
                      </w:rPr>
                      <w:t>2025</w:t>
                    </w:r>
                  </w:p>
                </w:txbxContent>
              </v:textbox>
              <w10:wrap anchorx="page" anchory="page"/>
            </v:shape>
          </w:pict>
        </mc:Fallback>
      </mc:AlternateContent>
    </w:r>
    <w:r>
      <w:rPr>
        <w:noProof/>
        <w:sz w:val="20"/>
      </w:rPr>
      <mc:AlternateContent>
        <mc:Choice Requires="wps">
          <w:drawing>
            <wp:anchor distT="0" distB="0" distL="0" distR="0" simplePos="0" relativeHeight="487374848" behindDoc="1" locked="0" layoutInCell="1" allowOverlap="1">
              <wp:simplePos x="0" y="0"/>
              <wp:positionH relativeFrom="page">
                <wp:posOffset>2572639</wp:posOffset>
              </wp:positionH>
              <wp:positionV relativeFrom="page">
                <wp:posOffset>360073</wp:posOffset>
              </wp:positionV>
              <wp:extent cx="3710304" cy="15875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10304" cy="158750"/>
                      </a:xfrm>
                      <a:prstGeom prst="rect">
                        <a:avLst/>
                      </a:prstGeom>
                    </wps:spPr>
                    <wps:txbx>
                      <w:txbxContent>
                        <w:p w:rsidR="00143FDB" w:rsidRDefault="006A44E3">
                          <w:pPr>
                            <w:spacing w:before="11"/>
                            <w:ind w:left="20"/>
                            <w:rPr>
                              <w:b/>
                              <w:sz w:val="19"/>
                            </w:rPr>
                          </w:pPr>
                          <w:r>
                            <w:rPr>
                              <w:b/>
                              <w:color w:val="769239"/>
                              <w:sz w:val="19"/>
                            </w:rPr>
                            <w:t>[</w:t>
                          </w:r>
                          <w:r>
                            <w:rPr>
                              <w:b/>
                              <w:sz w:val="19"/>
                            </w:rPr>
                            <w:t>PENA</w:t>
                          </w:r>
                          <w:r>
                            <w:rPr>
                              <w:b/>
                              <w:spacing w:val="-4"/>
                              <w:sz w:val="19"/>
                            </w:rPr>
                            <w:t xml:space="preserve"> </w:t>
                          </w:r>
                          <w:r>
                            <w:rPr>
                              <w:b/>
                              <w:sz w:val="19"/>
                            </w:rPr>
                            <w:t>JUSTISIA:</w:t>
                          </w:r>
                          <w:r>
                            <w:rPr>
                              <w:b/>
                              <w:spacing w:val="19"/>
                              <w:sz w:val="19"/>
                            </w:rPr>
                            <w:t xml:space="preserve"> </w:t>
                          </w:r>
                          <w:r>
                            <w:rPr>
                              <w:b/>
                              <w:sz w:val="19"/>
                            </w:rPr>
                            <w:t>MEDIA</w:t>
                          </w:r>
                          <w:r>
                            <w:rPr>
                              <w:b/>
                              <w:spacing w:val="24"/>
                              <w:sz w:val="19"/>
                            </w:rPr>
                            <w:t xml:space="preserve"> </w:t>
                          </w:r>
                          <w:r>
                            <w:rPr>
                              <w:b/>
                              <w:sz w:val="19"/>
                            </w:rPr>
                            <w:t>KOMUNIKAS</w:t>
                          </w:r>
                          <w:r>
                            <w:rPr>
                              <w:b/>
                              <w:spacing w:val="-21"/>
                              <w:sz w:val="19"/>
                            </w:rPr>
                            <w:t xml:space="preserve"> </w:t>
                          </w:r>
                          <w:r>
                            <w:rPr>
                              <w:b/>
                              <w:sz w:val="19"/>
                            </w:rPr>
                            <w:t>I</w:t>
                          </w:r>
                          <w:r>
                            <w:rPr>
                              <w:b/>
                              <w:spacing w:val="11"/>
                              <w:sz w:val="19"/>
                            </w:rPr>
                            <w:t xml:space="preserve"> </w:t>
                          </w:r>
                          <w:r>
                            <w:rPr>
                              <w:b/>
                              <w:sz w:val="19"/>
                            </w:rPr>
                            <w:t>DAN</w:t>
                          </w:r>
                          <w:r>
                            <w:rPr>
                              <w:b/>
                              <w:spacing w:val="-3"/>
                              <w:sz w:val="19"/>
                            </w:rPr>
                            <w:t xml:space="preserve"> </w:t>
                          </w:r>
                          <w:r>
                            <w:rPr>
                              <w:b/>
                              <w:sz w:val="19"/>
                            </w:rPr>
                            <w:t>KAJIAN</w:t>
                          </w:r>
                          <w:r>
                            <w:rPr>
                              <w:b/>
                              <w:spacing w:val="7"/>
                              <w:sz w:val="19"/>
                            </w:rPr>
                            <w:t xml:space="preserve"> </w:t>
                          </w:r>
                          <w:r>
                            <w:rPr>
                              <w:b/>
                              <w:spacing w:val="-2"/>
                              <w:sz w:val="19"/>
                            </w:rPr>
                            <w:t>HUKUM</w:t>
                          </w:r>
                          <w:r>
                            <w:rPr>
                              <w:b/>
                              <w:color w:val="769239"/>
                              <w:spacing w:val="-2"/>
                              <w:sz w:val="19"/>
                            </w:rPr>
                            <w:t>]</w:t>
                          </w:r>
                        </w:p>
                      </w:txbxContent>
                    </wps:txbx>
                    <wps:bodyPr wrap="square" lIns="0" tIns="0" rIns="0" bIns="0" rtlCol="0">
                      <a:noAutofit/>
                    </wps:bodyPr>
                  </wps:wsp>
                </a:graphicData>
              </a:graphic>
            </wp:anchor>
          </w:drawing>
        </mc:Choice>
        <mc:Fallback>
          <w:pict>
            <v:shape id="Textbox 5" o:spid="_x0000_s1031" type="#_x0000_t202" style="position:absolute;margin-left:202.55pt;margin-top:28.35pt;width:292.15pt;height:12.5pt;z-index:-15941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" filled="f" stroked="f">
              <v:path arrowok="t"/>
              <v:textbox inset="0,0,0,0">
                <w:txbxContent>
                  <w:p w:rsidR="00143FDB" w:rsidRDefault="006A44E3">
                    <w:pPr>
                      <w:spacing w:before="11"/>
                      <w:ind w:left="20"/>
                      <w:rPr>
                        <w:b/>
                        <w:sz w:val="19"/>
                      </w:rPr>
                    </w:pPr>
                    <w:r>
                      <w:rPr>
                        <w:b/>
                        <w:color w:val="769239"/>
                        <w:sz w:val="19"/>
                      </w:rPr>
                      <w:t>[</w:t>
                    </w:r>
                    <w:r>
                      <w:rPr>
                        <w:b/>
                        <w:sz w:val="19"/>
                      </w:rPr>
                      <w:t>PENA</w:t>
                    </w:r>
                    <w:r>
                      <w:rPr>
                        <w:b/>
                        <w:spacing w:val="-4"/>
                        <w:sz w:val="19"/>
                      </w:rPr>
                      <w:t xml:space="preserve"> </w:t>
                    </w:r>
                    <w:r>
                      <w:rPr>
                        <w:b/>
                        <w:sz w:val="19"/>
                      </w:rPr>
                      <w:t>JUSTISIA:</w:t>
                    </w:r>
                    <w:r>
                      <w:rPr>
                        <w:b/>
                        <w:spacing w:val="19"/>
                        <w:sz w:val="19"/>
                      </w:rPr>
                      <w:t xml:space="preserve"> </w:t>
                    </w:r>
                    <w:r>
                      <w:rPr>
                        <w:b/>
                        <w:sz w:val="19"/>
                      </w:rPr>
                      <w:t>MEDIA</w:t>
                    </w:r>
                    <w:r>
                      <w:rPr>
                        <w:b/>
                        <w:spacing w:val="24"/>
                        <w:sz w:val="19"/>
                      </w:rPr>
                      <w:t xml:space="preserve"> </w:t>
                    </w:r>
                    <w:r>
                      <w:rPr>
                        <w:b/>
                        <w:sz w:val="19"/>
                      </w:rPr>
                      <w:t>KOMUNIKAS</w:t>
                    </w:r>
                    <w:r>
                      <w:rPr>
                        <w:b/>
                        <w:spacing w:val="-21"/>
                        <w:sz w:val="19"/>
                      </w:rPr>
                      <w:t xml:space="preserve"> </w:t>
                    </w:r>
                    <w:r>
                      <w:rPr>
                        <w:b/>
                        <w:sz w:val="19"/>
                      </w:rPr>
                      <w:t>I</w:t>
                    </w:r>
                    <w:r>
                      <w:rPr>
                        <w:b/>
                        <w:spacing w:val="11"/>
                        <w:sz w:val="19"/>
                      </w:rPr>
                      <w:t xml:space="preserve"> </w:t>
                    </w:r>
                    <w:r>
                      <w:rPr>
                        <w:b/>
                        <w:sz w:val="19"/>
                      </w:rPr>
                      <w:t>DAN</w:t>
                    </w:r>
                    <w:r>
                      <w:rPr>
                        <w:b/>
                        <w:spacing w:val="-3"/>
                        <w:sz w:val="19"/>
                      </w:rPr>
                      <w:t xml:space="preserve"> </w:t>
                    </w:r>
                    <w:r>
                      <w:rPr>
                        <w:b/>
                        <w:sz w:val="19"/>
                      </w:rPr>
                      <w:t>KAJIAN</w:t>
                    </w:r>
                    <w:r>
                      <w:rPr>
                        <w:b/>
                        <w:spacing w:val="7"/>
                        <w:sz w:val="19"/>
                      </w:rPr>
                      <w:t xml:space="preserve"> </w:t>
                    </w:r>
                    <w:r>
                      <w:rPr>
                        <w:b/>
                        <w:spacing w:val="-2"/>
                        <w:sz w:val="19"/>
                      </w:rPr>
                      <w:t>HUKUM</w:t>
                    </w:r>
                    <w:r>
                      <w:rPr>
                        <w:b/>
                        <w:color w:val="769239"/>
                        <w:spacing w:val="-2"/>
                        <w:sz w:val="19"/>
                      </w:rPr>
                      <w: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3FDB" w:rsidRDefault="006A44E3">
    <w:pPr>
      <w:pStyle w:val="BodyText"/>
      <w:spacing w:line="14" w:lineRule="auto"/>
      <w:ind w:left="0"/>
      <w:jc w:val="left"/>
      <w:rPr>
        <w:sz w:val="20"/>
      </w:rPr>
    </w:pPr>
    <w:r>
      <w:rPr>
        <w:noProof/>
        <w:sz w:val="20"/>
      </w:rPr>
      <mc:AlternateContent>
        <mc:Choice Requires="wpg">
          <w:drawing>
            <wp:anchor distT="0" distB="0" distL="0" distR="0" simplePos="0" relativeHeight="487375360" behindDoc="1" locked="0" layoutInCell="1" allowOverlap="1">
              <wp:simplePos x="0" y="0"/>
              <wp:positionH relativeFrom="page">
                <wp:posOffset>1070610</wp:posOffset>
              </wp:positionH>
              <wp:positionV relativeFrom="page">
                <wp:posOffset>179324</wp:posOffset>
              </wp:positionV>
              <wp:extent cx="5338445" cy="38481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38445" cy="384810"/>
                        <a:chOff x="0" y="0"/>
                        <a:chExt cx="5338445" cy="384810"/>
                      </a:xfrm>
                    </wpg:grpSpPr>
                    <wps:wsp>
                      <wps:cNvPr id="11" name="Graphic 11"/>
                      <wps:cNvSpPr/>
                      <wps:spPr>
                        <a:xfrm>
                          <a:off x="0" y="0"/>
                          <a:ext cx="1391285" cy="384810"/>
                        </a:xfrm>
                        <a:custGeom>
                          <a:avLst/>
                          <a:gdLst/>
                          <a:ahLst/>
                          <a:cxnLst/>
                          <a:rect l="l" t="t" r="r" b="b"/>
                          <a:pathLst>
                            <a:path w="1391285" h="384810">
                              <a:moveTo>
                                <a:pt x="1391285" y="0"/>
                              </a:moveTo>
                              <a:lnTo>
                                <a:pt x="8890" y="0"/>
                              </a:lnTo>
                              <a:lnTo>
                                <a:pt x="8890" y="378460"/>
                              </a:lnTo>
                              <a:lnTo>
                                <a:pt x="0" y="378460"/>
                              </a:lnTo>
                              <a:lnTo>
                                <a:pt x="0" y="384810"/>
                              </a:lnTo>
                              <a:lnTo>
                                <a:pt x="1391285" y="384810"/>
                              </a:lnTo>
                              <a:lnTo>
                                <a:pt x="1391285" y="378460"/>
                              </a:lnTo>
                              <a:lnTo>
                                <a:pt x="1391285" y="0"/>
                              </a:lnTo>
                              <a:close/>
                            </a:path>
                          </a:pathLst>
                        </a:custGeom>
                        <a:solidFill>
                          <a:srgbClr val="923634"/>
                        </a:solidFill>
                      </wps:spPr>
                      <wps:bodyPr wrap="square" lIns="0" tIns="0" rIns="0" bIns="0" rtlCol="0">
                        <a:prstTxWarp prst="textNoShape">
                          <a:avLst/>
                        </a:prstTxWarp>
                        <a:noAutofit/>
                      </wps:bodyPr>
                    </wps:wsp>
                    <wps:wsp>
                      <wps:cNvPr id="12" name="Graphic 12"/>
                      <wps:cNvSpPr/>
                      <wps:spPr>
                        <a:xfrm>
                          <a:off x="1383030" y="377570"/>
                          <a:ext cx="3955415" cy="6350"/>
                        </a:xfrm>
                        <a:custGeom>
                          <a:avLst/>
                          <a:gdLst/>
                          <a:ahLst/>
                          <a:cxnLst/>
                          <a:rect l="l" t="t" r="r" b="b"/>
                          <a:pathLst>
                            <a:path w="3955415" h="6350">
                              <a:moveTo>
                                <a:pt x="3955415" y="0"/>
                              </a:moveTo>
                              <a:lnTo>
                                <a:pt x="0" y="0"/>
                              </a:lnTo>
                              <a:lnTo>
                                <a:pt x="0" y="6350"/>
                              </a:lnTo>
                              <a:lnTo>
                                <a:pt x="3955415" y="6350"/>
                              </a:lnTo>
                              <a:lnTo>
                                <a:pt x="395541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3430D9E" id="Group 10" o:spid="_x0000_s1026" style="position:absolute;margin-left:84.3pt;margin-top:14.1pt;width:420.35pt;height:30.3pt;z-index:-15941120;mso-wrap-distance-left:0;mso-wrap-distance-right:0;mso-position-horizontal-relative:page;mso-position-vertical-relative:page" coordsize="53384,3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">
              <v:shape id="Graphic 11" o:spid="_x0000_s1027" style="position:absolute;width:13912;height:3848;visibility:visible;mso-wrap-style:square;v-text-anchor:top" coordsize="1391285,384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" path="m1391285,l8890,r,378460l,378460r,6350l1391285,384810r,-6350l1391285,xe" fillcolor="#923634" stroked="f">
                <v:path arrowok="t"/>
              </v:shape>
              <v:shape id="Graphic 12" o:spid="_x0000_s1028" style="position:absolute;left:13830;top:3775;width:39554;height:64;visibility:visible;mso-wrap-style:square;v-text-anchor:top" coordsize="39554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" path="m3955415,l,,,6350r3955415,l3955415,xe" fillcolor="black" stroked="f">
                <v:path arrowok="t"/>
              </v:shape>
              <w10:wrap anchorx="page" anchory="page"/>
            </v:group>
          </w:pict>
        </mc:Fallback>
      </mc:AlternateContent>
    </w:r>
    <w:r>
      <w:rPr>
        <w:noProof/>
        <w:sz w:val="20"/>
      </w:rPr>
      <mc:AlternateContent>
        <mc:Choice Requires="wps">
          <w:drawing>
            <wp:anchor distT="0" distB="0" distL="0" distR="0" simplePos="0" relativeHeight="487375872" behindDoc="1" locked="0" layoutInCell="1" allowOverlap="1">
              <wp:simplePos x="0" y="0"/>
              <wp:positionH relativeFrom="page">
                <wp:posOffset>1132128</wp:posOffset>
              </wp:positionH>
              <wp:positionV relativeFrom="page">
                <wp:posOffset>203538</wp:posOffset>
              </wp:positionV>
              <wp:extent cx="1104265" cy="31940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265" cy="319405"/>
                      </a:xfrm>
                      <a:prstGeom prst="rect">
                        <a:avLst/>
                      </a:prstGeom>
                    </wps:spPr>
                    <wps:txbx>
                      <w:txbxContent>
                        <w:p w:rsidR="00143FDB" w:rsidRDefault="006A44E3">
                          <w:pPr>
                            <w:spacing w:before="10"/>
                            <w:ind w:left="305"/>
                            <w:rPr>
                              <w:b/>
                              <w:sz w:val="24"/>
                            </w:rPr>
                          </w:pPr>
                          <w:r>
                            <w:rPr>
                              <w:b/>
                              <w:w w:val="90"/>
                              <w:sz w:val="24"/>
                            </w:rPr>
                            <w:t>Pena</w:t>
                          </w:r>
                          <w:r>
                            <w:rPr>
                              <w:b/>
                              <w:spacing w:val="29"/>
                              <w:sz w:val="24"/>
                            </w:rPr>
                            <w:t xml:space="preserve"> </w:t>
                          </w:r>
                          <w:r>
                            <w:rPr>
                              <w:b/>
                              <w:spacing w:val="-2"/>
                              <w:w w:val="95"/>
                              <w:sz w:val="24"/>
                            </w:rPr>
                            <w:t>Justisia:</w:t>
                          </w:r>
                        </w:p>
                        <w:p w:rsidR="00143FDB" w:rsidRDefault="006A44E3">
                          <w:pPr>
                            <w:spacing w:before="12"/>
                            <w:ind w:left="20"/>
                            <w:rPr>
                              <w:b/>
                              <w:sz w:val="16"/>
                            </w:rPr>
                          </w:pPr>
                          <w:r>
                            <w:rPr>
                              <w:b/>
                              <w:sz w:val="16"/>
                            </w:rPr>
                            <w:t>Vol.</w:t>
                          </w:r>
                          <w:r>
                            <w:rPr>
                              <w:b/>
                              <w:spacing w:val="-8"/>
                              <w:sz w:val="16"/>
                            </w:rPr>
                            <w:t xml:space="preserve"> </w:t>
                          </w:r>
                          <w:r>
                            <w:rPr>
                              <w:b/>
                              <w:sz w:val="16"/>
                            </w:rPr>
                            <w:t>24,</w:t>
                          </w:r>
                          <w:r>
                            <w:rPr>
                              <w:b/>
                              <w:spacing w:val="-4"/>
                              <w:sz w:val="16"/>
                            </w:rPr>
                            <w:t xml:space="preserve"> </w:t>
                          </w:r>
                          <w:r>
                            <w:rPr>
                              <w:b/>
                              <w:sz w:val="16"/>
                            </w:rPr>
                            <w:t>No.</w:t>
                          </w:r>
                          <w:r>
                            <w:rPr>
                              <w:b/>
                              <w:spacing w:val="-3"/>
                              <w:sz w:val="16"/>
                            </w:rPr>
                            <w:t xml:space="preserve"> </w:t>
                          </w:r>
                          <w:r w:rsidR="002B044E">
                            <w:rPr>
                              <w:b/>
                              <w:sz w:val="16"/>
                            </w:rPr>
                            <w:t>1</w:t>
                          </w:r>
                          <w:r>
                            <w:rPr>
                              <w:b/>
                              <w:sz w:val="16"/>
                            </w:rPr>
                            <w:t>,</w:t>
                          </w:r>
                          <w:r>
                            <w:rPr>
                              <w:b/>
                              <w:spacing w:val="-3"/>
                              <w:sz w:val="16"/>
                            </w:rPr>
                            <w:t xml:space="preserve"> </w:t>
                          </w:r>
                          <w:r>
                            <w:rPr>
                              <w:b/>
                              <w:sz w:val="16"/>
                            </w:rPr>
                            <w:t>June,</w:t>
                          </w:r>
                          <w:r>
                            <w:rPr>
                              <w:b/>
                              <w:spacing w:val="-18"/>
                              <w:sz w:val="16"/>
                            </w:rPr>
                            <w:t xml:space="preserve"> </w:t>
                          </w:r>
                          <w:r>
                            <w:rPr>
                              <w:b/>
                              <w:spacing w:val="-4"/>
                              <w:sz w:val="16"/>
                            </w:rPr>
                            <w:t>2025</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3" o:spid="_x0000_s1032" type="#_x0000_t202" style="position:absolute;margin-left:89.15pt;margin-top:16.05pt;width:86.95pt;height:25.15pt;z-index:-15940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" filled="f" stroked="f">
              <v:path arrowok="t"/>
              <v:textbox inset="0,0,0,0">
                <w:txbxContent>
                  <w:p w:rsidR="00143FDB" w:rsidRDefault="006A44E3">
                    <w:pPr>
                      <w:spacing w:before="10"/>
                      <w:ind w:left="305"/>
                      <w:rPr>
                        <w:b/>
                        <w:sz w:val="24"/>
                      </w:rPr>
                    </w:pPr>
                    <w:r>
                      <w:rPr>
                        <w:b/>
                        <w:w w:val="90"/>
                        <w:sz w:val="24"/>
                      </w:rPr>
                      <w:t>Pena</w:t>
                    </w:r>
                    <w:r>
                      <w:rPr>
                        <w:b/>
                        <w:spacing w:val="29"/>
                        <w:sz w:val="24"/>
                      </w:rPr>
                      <w:t xml:space="preserve"> </w:t>
                    </w:r>
                    <w:r>
                      <w:rPr>
                        <w:b/>
                        <w:spacing w:val="-2"/>
                        <w:w w:val="95"/>
                        <w:sz w:val="24"/>
                      </w:rPr>
                      <w:t>Justisia:</w:t>
                    </w:r>
                  </w:p>
                  <w:p w:rsidR="00143FDB" w:rsidRDefault="006A44E3">
                    <w:pPr>
                      <w:spacing w:before="12"/>
                      <w:ind w:left="20"/>
                      <w:rPr>
                        <w:b/>
                        <w:sz w:val="16"/>
                      </w:rPr>
                    </w:pPr>
                    <w:r>
                      <w:rPr>
                        <w:b/>
                        <w:sz w:val="16"/>
                      </w:rPr>
                      <w:t>Vol.</w:t>
                    </w:r>
                    <w:r>
                      <w:rPr>
                        <w:b/>
                        <w:spacing w:val="-8"/>
                        <w:sz w:val="16"/>
                      </w:rPr>
                      <w:t xml:space="preserve"> </w:t>
                    </w:r>
                    <w:r>
                      <w:rPr>
                        <w:b/>
                        <w:sz w:val="16"/>
                      </w:rPr>
                      <w:t>24,</w:t>
                    </w:r>
                    <w:r>
                      <w:rPr>
                        <w:b/>
                        <w:spacing w:val="-4"/>
                        <w:sz w:val="16"/>
                      </w:rPr>
                      <w:t xml:space="preserve"> </w:t>
                    </w:r>
                    <w:r>
                      <w:rPr>
                        <w:b/>
                        <w:sz w:val="16"/>
                      </w:rPr>
                      <w:t>No.</w:t>
                    </w:r>
                    <w:r>
                      <w:rPr>
                        <w:b/>
                        <w:spacing w:val="-3"/>
                        <w:sz w:val="16"/>
                      </w:rPr>
                      <w:t xml:space="preserve"> </w:t>
                    </w:r>
                    <w:r w:rsidR="002B044E">
                      <w:rPr>
                        <w:b/>
                        <w:sz w:val="16"/>
                      </w:rPr>
                      <w:t>1</w:t>
                    </w:r>
                    <w:r>
                      <w:rPr>
                        <w:b/>
                        <w:sz w:val="16"/>
                      </w:rPr>
                      <w:t>,</w:t>
                    </w:r>
                    <w:r>
                      <w:rPr>
                        <w:b/>
                        <w:spacing w:val="-3"/>
                        <w:sz w:val="16"/>
                      </w:rPr>
                      <w:t xml:space="preserve"> </w:t>
                    </w:r>
                    <w:r>
                      <w:rPr>
                        <w:b/>
                        <w:sz w:val="16"/>
                      </w:rPr>
                      <w:t>June,</w:t>
                    </w:r>
                    <w:r>
                      <w:rPr>
                        <w:b/>
                        <w:spacing w:val="-18"/>
                        <w:sz w:val="16"/>
                      </w:rPr>
                      <w:t xml:space="preserve"> </w:t>
                    </w:r>
                    <w:r>
                      <w:rPr>
                        <w:b/>
                        <w:spacing w:val="-4"/>
                        <w:sz w:val="16"/>
                      </w:rPr>
                      <w:t>2025</w:t>
                    </w:r>
                  </w:p>
                </w:txbxContent>
              </v:textbox>
              <w10:wrap anchorx="page" anchory="page"/>
            </v:shape>
          </w:pict>
        </mc:Fallback>
      </mc:AlternateContent>
    </w:r>
    <w:r>
      <w:rPr>
        <w:noProof/>
        <w:sz w:val="20"/>
      </w:rPr>
      <mc:AlternateContent>
        <mc:Choice Requires="wps">
          <w:drawing>
            <wp:anchor distT="0" distB="0" distL="0" distR="0" simplePos="0" relativeHeight="487376384" behindDoc="1" locked="0" layoutInCell="1" allowOverlap="1">
              <wp:simplePos x="0" y="0"/>
              <wp:positionH relativeFrom="page">
                <wp:posOffset>2572639</wp:posOffset>
              </wp:positionH>
              <wp:positionV relativeFrom="page">
                <wp:posOffset>360073</wp:posOffset>
              </wp:positionV>
              <wp:extent cx="3710304" cy="15875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10304" cy="158750"/>
                      </a:xfrm>
                      <a:prstGeom prst="rect">
                        <a:avLst/>
                      </a:prstGeom>
                    </wps:spPr>
                    <wps:txbx>
                      <w:txbxContent>
                        <w:p w:rsidR="00143FDB" w:rsidRDefault="006A44E3">
                          <w:pPr>
                            <w:spacing w:before="11"/>
                            <w:ind w:left="20"/>
                            <w:rPr>
                              <w:b/>
                              <w:sz w:val="19"/>
                            </w:rPr>
                          </w:pPr>
                          <w:r>
                            <w:rPr>
                              <w:b/>
                              <w:color w:val="769239"/>
                              <w:sz w:val="19"/>
                            </w:rPr>
                            <w:t>[</w:t>
                          </w:r>
                          <w:r>
                            <w:rPr>
                              <w:b/>
                              <w:sz w:val="19"/>
                            </w:rPr>
                            <w:t>PENA</w:t>
                          </w:r>
                          <w:r>
                            <w:rPr>
                              <w:b/>
                              <w:spacing w:val="-4"/>
                              <w:sz w:val="19"/>
                            </w:rPr>
                            <w:t xml:space="preserve"> </w:t>
                          </w:r>
                          <w:r>
                            <w:rPr>
                              <w:b/>
                              <w:sz w:val="19"/>
                            </w:rPr>
                            <w:t>JUSTISIA:</w:t>
                          </w:r>
                          <w:r>
                            <w:rPr>
                              <w:b/>
                              <w:spacing w:val="19"/>
                              <w:sz w:val="19"/>
                            </w:rPr>
                            <w:t xml:space="preserve"> </w:t>
                          </w:r>
                          <w:r>
                            <w:rPr>
                              <w:b/>
                              <w:sz w:val="19"/>
                            </w:rPr>
                            <w:t>MEDIA</w:t>
                          </w:r>
                          <w:r>
                            <w:rPr>
                              <w:b/>
                              <w:spacing w:val="24"/>
                              <w:sz w:val="19"/>
                            </w:rPr>
                            <w:t xml:space="preserve"> </w:t>
                          </w:r>
                          <w:r>
                            <w:rPr>
                              <w:b/>
                              <w:sz w:val="19"/>
                            </w:rPr>
                            <w:t>KOMUNIKAS</w:t>
                          </w:r>
                          <w:r>
                            <w:rPr>
                              <w:b/>
                              <w:spacing w:val="-21"/>
                              <w:sz w:val="19"/>
                            </w:rPr>
                            <w:t xml:space="preserve"> </w:t>
                          </w:r>
                          <w:r>
                            <w:rPr>
                              <w:b/>
                              <w:sz w:val="19"/>
                            </w:rPr>
                            <w:t>I</w:t>
                          </w:r>
                          <w:r>
                            <w:rPr>
                              <w:b/>
                              <w:spacing w:val="11"/>
                              <w:sz w:val="19"/>
                            </w:rPr>
                            <w:t xml:space="preserve"> </w:t>
                          </w:r>
                          <w:r>
                            <w:rPr>
                              <w:b/>
                              <w:sz w:val="19"/>
                            </w:rPr>
                            <w:t>DAN</w:t>
                          </w:r>
                          <w:r>
                            <w:rPr>
                              <w:b/>
                              <w:spacing w:val="-3"/>
                              <w:sz w:val="19"/>
                            </w:rPr>
                            <w:t xml:space="preserve"> </w:t>
                          </w:r>
                          <w:r>
                            <w:rPr>
                              <w:b/>
                              <w:sz w:val="19"/>
                            </w:rPr>
                            <w:t>KAJIAN</w:t>
                          </w:r>
                          <w:r>
                            <w:rPr>
                              <w:b/>
                              <w:spacing w:val="7"/>
                              <w:sz w:val="19"/>
                            </w:rPr>
                            <w:t xml:space="preserve"> </w:t>
                          </w:r>
                          <w:r>
                            <w:rPr>
                              <w:b/>
                              <w:spacing w:val="-2"/>
                              <w:sz w:val="19"/>
                            </w:rPr>
                            <w:t>HUKUM</w:t>
                          </w:r>
                          <w:r>
                            <w:rPr>
                              <w:b/>
                              <w:color w:val="769239"/>
                              <w:spacing w:val="-2"/>
                              <w:sz w:val="19"/>
                            </w:rPr>
                            <w:t>]</w:t>
                          </w:r>
                        </w:p>
                      </w:txbxContent>
                    </wps:txbx>
                    <wps:bodyPr wrap="square" lIns="0" tIns="0" rIns="0" bIns="0" rtlCol="0">
                      <a:noAutofit/>
                    </wps:bodyPr>
                  </wps:wsp>
                </a:graphicData>
              </a:graphic>
            </wp:anchor>
          </w:drawing>
        </mc:Choice>
        <mc:Fallback>
          <w:pict>
            <v:shape id="Textbox 14" o:spid="_x0000_s1033" type="#_x0000_t202" style="position:absolute;margin-left:202.55pt;margin-top:28.35pt;width:292.15pt;height:12.5pt;z-index:-15940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" filled="f" stroked="f">
              <v:path arrowok="t"/>
              <v:textbox inset="0,0,0,0">
                <w:txbxContent>
                  <w:p w:rsidR="00143FDB" w:rsidRDefault="006A44E3">
                    <w:pPr>
                      <w:spacing w:before="11"/>
                      <w:ind w:left="20"/>
                      <w:rPr>
                        <w:b/>
                        <w:sz w:val="19"/>
                      </w:rPr>
                    </w:pPr>
                    <w:r>
                      <w:rPr>
                        <w:b/>
                        <w:color w:val="769239"/>
                        <w:sz w:val="19"/>
                      </w:rPr>
                      <w:t>[</w:t>
                    </w:r>
                    <w:r>
                      <w:rPr>
                        <w:b/>
                        <w:sz w:val="19"/>
                      </w:rPr>
                      <w:t>PENA</w:t>
                    </w:r>
                    <w:r>
                      <w:rPr>
                        <w:b/>
                        <w:spacing w:val="-4"/>
                        <w:sz w:val="19"/>
                      </w:rPr>
                      <w:t xml:space="preserve"> </w:t>
                    </w:r>
                    <w:r>
                      <w:rPr>
                        <w:b/>
                        <w:sz w:val="19"/>
                      </w:rPr>
                      <w:t>JUSTISIA:</w:t>
                    </w:r>
                    <w:r>
                      <w:rPr>
                        <w:b/>
                        <w:spacing w:val="19"/>
                        <w:sz w:val="19"/>
                      </w:rPr>
                      <w:t xml:space="preserve"> </w:t>
                    </w:r>
                    <w:r>
                      <w:rPr>
                        <w:b/>
                        <w:sz w:val="19"/>
                      </w:rPr>
                      <w:t>MEDIA</w:t>
                    </w:r>
                    <w:r>
                      <w:rPr>
                        <w:b/>
                        <w:spacing w:val="24"/>
                        <w:sz w:val="19"/>
                      </w:rPr>
                      <w:t xml:space="preserve"> </w:t>
                    </w:r>
                    <w:r>
                      <w:rPr>
                        <w:b/>
                        <w:sz w:val="19"/>
                      </w:rPr>
                      <w:t>KOMUNIKAS</w:t>
                    </w:r>
                    <w:r>
                      <w:rPr>
                        <w:b/>
                        <w:spacing w:val="-21"/>
                        <w:sz w:val="19"/>
                      </w:rPr>
                      <w:t xml:space="preserve"> </w:t>
                    </w:r>
                    <w:r>
                      <w:rPr>
                        <w:b/>
                        <w:sz w:val="19"/>
                      </w:rPr>
                      <w:t>I</w:t>
                    </w:r>
                    <w:r>
                      <w:rPr>
                        <w:b/>
                        <w:spacing w:val="11"/>
                        <w:sz w:val="19"/>
                      </w:rPr>
                      <w:t xml:space="preserve"> </w:t>
                    </w:r>
                    <w:r>
                      <w:rPr>
                        <w:b/>
                        <w:sz w:val="19"/>
                      </w:rPr>
                      <w:t>DAN</w:t>
                    </w:r>
                    <w:r>
                      <w:rPr>
                        <w:b/>
                        <w:spacing w:val="-3"/>
                        <w:sz w:val="19"/>
                      </w:rPr>
                      <w:t xml:space="preserve"> </w:t>
                    </w:r>
                    <w:r>
                      <w:rPr>
                        <w:b/>
                        <w:sz w:val="19"/>
                      </w:rPr>
                      <w:t>KAJIAN</w:t>
                    </w:r>
                    <w:r>
                      <w:rPr>
                        <w:b/>
                        <w:spacing w:val="7"/>
                        <w:sz w:val="19"/>
                      </w:rPr>
                      <w:t xml:space="preserve"> </w:t>
                    </w:r>
                    <w:r>
                      <w:rPr>
                        <w:b/>
                        <w:spacing w:val="-2"/>
                        <w:sz w:val="19"/>
                      </w:rPr>
                      <w:t>HUKUM</w:t>
                    </w:r>
                    <w:r>
                      <w:rPr>
                        <w:b/>
                        <w:color w:val="769239"/>
                        <w:spacing w:val="-2"/>
                        <w:sz w:val="19"/>
                      </w:rPr>
                      <w:t>]</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3FDB" w:rsidRDefault="006A44E3">
    <w:pPr>
      <w:pStyle w:val="BodyText"/>
      <w:spacing w:line="14" w:lineRule="auto"/>
      <w:ind w:left="0"/>
      <w:jc w:val="left"/>
      <w:rPr>
        <w:sz w:val="20"/>
      </w:rPr>
    </w:pPr>
    <w:r>
      <w:rPr>
        <w:noProof/>
        <w:sz w:val="20"/>
      </w:rPr>
      <mc:AlternateContent>
        <mc:Choice Requires="wpg">
          <w:drawing>
            <wp:anchor distT="0" distB="0" distL="0" distR="0" simplePos="0" relativeHeight="487378432" behindDoc="1" locked="0" layoutInCell="1" allowOverlap="1">
              <wp:simplePos x="0" y="0"/>
              <wp:positionH relativeFrom="page">
                <wp:posOffset>1070610</wp:posOffset>
              </wp:positionH>
              <wp:positionV relativeFrom="page">
                <wp:posOffset>179324</wp:posOffset>
              </wp:positionV>
              <wp:extent cx="5338445" cy="384810"/>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38445" cy="384810"/>
                        <a:chOff x="0" y="0"/>
                        <a:chExt cx="5338445" cy="384810"/>
                      </a:xfrm>
                    </wpg:grpSpPr>
                    <wps:wsp>
                      <wps:cNvPr id="21" name="Graphic 21"/>
                      <wps:cNvSpPr/>
                      <wps:spPr>
                        <a:xfrm>
                          <a:off x="0" y="0"/>
                          <a:ext cx="1391285" cy="384810"/>
                        </a:xfrm>
                        <a:custGeom>
                          <a:avLst/>
                          <a:gdLst/>
                          <a:ahLst/>
                          <a:cxnLst/>
                          <a:rect l="l" t="t" r="r" b="b"/>
                          <a:pathLst>
                            <a:path w="1391285" h="384810">
                              <a:moveTo>
                                <a:pt x="1391285" y="0"/>
                              </a:moveTo>
                              <a:lnTo>
                                <a:pt x="8890" y="0"/>
                              </a:lnTo>
                              <a:lnTo>
                                <a:pt x="8890" y="378460"/>
                              </a:lnTo>
                              <a:lnTo>
                                <a:pt x="0" y="378460"/>
                              </a:lnTo>
                              <a:lnTo>
                                <a:pt x="0" y="384810"/>
                              </a:lnTo>
                              <a:lnTo>
                                <a:pt x="1391285" y="384810"/>
                              </a:lnTo>
                              <a:lnTo>
                                <a:pt x="1391285" y="378460"/>
                              </a:lnTo>
                              <a:lnTo>
                                <a:pt x="1391285" y="0"/>
                              </a:lnTo>
                              <a:close/>
                            </a:path>
                          </a:pathLst>
                        </a:custGeom>
                        <a:solidFill>
                          <a:srgbClr val="923634"/>
                        </a:solidFill>
                      </wps:spPr>
                      <wps:bodyPr wrap="square" lIns="0" tIns="0" rIns="0" bIns="0" rtlCol="0">
                        <a:prstTxWarp prst="textNoShape">
                          <a:avLst/>
                        </a:prstTxWarp>
                        <a:noAutofit/>
                      </wps:bodyPr>
                    </wps:wsp>
                    <wps:wsp>
                      <wps:cNvPr id="22" name="Graphic 22"/>
                      <wps:cNvSpPr/>
                      <wps:spPr>
                        <a:xfrm>
                          <a:off x="1383030" y="377570"/>
                          <a:ext cx="3955415" cy="6350"/>
                        </a:xfrm>
                        <a:custGeom>
                          <a:avLst/>
                          <a:gdLst/>
                          <a:ahLst/>
                          <a:cxnLst/>
                          <a:rect l="l" t="t" r="r" b="b"/>
                          <a:pathLst>
                            <a:path w="3955415" h="6350">
                              <a:moveTo>
                                <a:pt x="3955415" y="0"/>
                              </a:moveTo>
                              <a:lnTo>
                                <a:pt x="0" y="0"/>
                              </a:lnTo>
                              <a:lnTo>
                                <a:pt x="0" y="6350"/>
                              </a:lnTo>
                              <a:lnTo>
                                <a:pt x="3955415" y="6350"/>
                              </a:lnTo>
                              <a:lnTo>
                                <a:pt x="395541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BD4AC2C" id="Group 20" o:spid="_x0000_s1026" style="position:absolute;margin-left:84.3pt;margin-top:14.1pt;width:420.35pt;height:30.3pt;z-index:-15938048;mso-wrap-distance-left:0;mso-wrap-distance-right:0;mso-position-horizontal-relative:page;mso-position-vertical-relative:page" coordsize="53384,3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">
              <v:shape id="Graphic 21" o:spid="_x0000_s1027" style="position:absolute;width:13912;height:3848;visibility:visible;mso-wrap-style:square;v-text-anchor:top" coordsize="1391285,384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" path="m1391285,l8890,r,378460l,378460r,6350l1391285,384810r,-6350l1391285,xe" fillcolor="#923634" stroked="f">
                <v:path arrowok="t"/>
              </v:shape>
              <v:shape id="Graphic 22" o:spid="_x0000_s1028" style="position:absolute;left:13830;top:3775;width:39554;height:64;visibility:visible;mso-wrap-style:square;v-text-anchor:top" coordsize="39554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" path="m3955415,l,,,6350r3955415,l3955415,xe" fillcolor="black" stroked="f">
                <v:path arrowok="t"/>
              </v:shape>
              <w10:wrap anchorx="page" anchory="page"/>
            </v:group>
          </w:pict>
        </mc:Fallback>
      </mc:AlternateContent>
    </w:r>
    <w:r>
      <w:rPr>
        <w:noProof/>
        <w:sz w:val="20"/>
      </w:rPr>
      <mc:AlternateContent>
        <mc:Choice Requires="wps">
          <w:drawing>
            <wp:anchor distT="0" distB="0" distL="0" distR="0" simplePos="0" relativeHeight="487378944" behindDoc="1" locked="0" layoutInCell="1" allowOverlap="1">
              <wp:simplePos x="0" y="0"/>
              <wp:positionH relativeFrom="page">
                <wp:posOffset>1132128</wp:posOffset>
              </wp:positionH>
              <wp:positionV relativeFrom="page">
                <wp:posOffset>203538</wp:posOffset>
              </wp:positionV>
              <wp:extent cx="1104265" cy="319405"/>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265" cy="319405"/>
                      </a:xfrm>
                      <a:prstGeom prst="rect">
                        <a:avLst/>
                      </a:prstGeom>
                    </wps:spPr>
                    <wps:txbx>
                      <w:txbxContent>
                        <w:p w:rsidR="00143FDB" w:rsidRDefault="006A44E3">
                          <w:pPr>
                            <w:spacing w:before="10"/>
                            <w:ind w:left="305"/>
                            <w:rPr>
                              <w:b/>
                              <w:sz w:val="24"/>
                            </w:rPr>
                          </w:pPr>
                          <w:r>
                            <w:rPr>
                              <w:b/>
                              <w:w w:val="90"/>
                              <w:sz w:val="24"/>
                            </w:rPr>
                            <w:t>Pena</w:t>
                          </w:r>
                          <w:r>
                            <w:rPr>
                              <w:b/>
                              <w:spacing w:val="29"/>
                              <w:sz w:val="24"/>
                            </w:rPr>
                            <w:t xml:space="preserve"> </w:t>
                          </w:r>
                          <w:r>
                            <w:rPr>
                              <w:b/>
                              <w:spacing w:val="-2"/>
                              <w:w w:val="95"/>
                              <w:sz w:val="24"/>
                            </w:rPr>
                            <w:t>Justisia:</w:t>
                          </w:r>
                        </w:p>
                        <w:p w:rsidR="00143FDB" w:rsidRDefault="006A44E3">
                          <w:pPr>
                            <w:spacing w:before="12"/>
                            <w:ind w:left="20"/>
                            <w:rPr>
                              <w:b/>
                              <w:sz w:val="16"/>
                            </w:rPr>
                          </w:pPr>
                          <w:r>
                            <w:rPr>
                              <w:b/>
                              <w:sz w:val="16"/>
                            </w:rPr>
                            <w:t>Vol.</w:t>
                          </w:r>
                          <w:r>
                            <w:rPr>
                              <w:b/>
                              <w:spacing w:val="-8"/>
                              <w:sz w:val="16"/>
                            </w:rPr>
                            <w:t xml:space="preserve"> </w:t>
                          </w:r>
                          <w:r>
                            <w:rPr>
                              <w:b/>
                              <w:sz w:val="16"/>
                            </w:rPr>
                            <w:t>24,</w:t>
                          </w:r>
                          <w:r>
                            <w:rPr>
                              <w:b/>
                              <w:spacing w:val="-4"/>
                              <w:sz w:val="16"/>
                            </w:rPr>
                            <w:t xml:space="preserve"> </w:t>
                          </w:r>
                          <w:r>
                            <w:rPr>
                              <w:b/>
                              <w:sz w:val="16"/>
                            </w:rPr>
                            <w:t>No.</w:t>
                          </w:r>
                          <w:r>
                            <w:rPr>
                              <w:b/>
                              <w:spacing w:val="-3"/>
                              <w:sz w:val="16"/>
                            </w:rPr>
                            <w:t xml:space="preserve"> </w:t>
                          </w:r>
                          <w:r>
                            <w:rPr>
                              <w:b/>
                              <w:sz w:val="16"/>
                            </w:rPr>
                            <w:t>2,</w:t>
                          </w:r>
                          <w:r>
                            <w:rPr>
                              <w:b/>
                              <w:spacing w:val="-3"/>
                              <w:sz w:val="16"/>
                            </w:rPr>
                            <w:t xml:space="preserve"> </w:t>
                          </w:r>
                          <w:r>
                            <w:rPr>
                              <w:b/>
                              <w:sz w:val="16"/>
                            </w:rPr>
                            <w:t>June,</w:t>
                          </w:r>
                          <w:r>
                            <w:rPr>
                              <w:b/>
                              <w:spacing w:val="-18"/>
                              <w:sz w:val="16"/>
                            </w:rPr>
                            <w:t xml:space="preserve"> </w:t>
                          </w:r>
                          <w:r>
                            <w:rPr>
                              <w:b/>
                              <w:spacing w:val="-4"/>
                              <w:sz w:val="16"/>
                            </w:rPr>
                            <w:t>2025</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3" o:spid="_x0000_s1036" type="#_x0000_t202" style="position:absolute;margin-left:89.15pt;margin-top:16.05pt;width:86.95pt;height:25.15pt;z-index:-15937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" filled="f" stroked="f">
              <v:path arrowok="t"/>
              <v:textbox inset="0,0,0,0">
                <w:txbxContent>
                  <w:p w:rsidR="00143FDB" w:rsidRDefault="006A44E3">
                    <w:pPr>
                      <w:spacing w:before="10"/>
                      <w:ind w:left="305"/>
                      <w:rPr>
                        <w:b/>
                        <w:sz w:val="24"/>
                      </w:rPr>
                    </w:pPr>
                    <w:r>
                      <w:rPr>
                        <w:b/>
                        <w:w w:val="90"/>
                        <w:sz w:val="24"/>
                      </w:rPr>
                      <w:t>Pena</w:t>
                    </w:r>
                    <w:r>
                      <w:rPr>
                        <w:b/>
                        <w:spacing w:val="29"/>
                        <w:sz w:val="24"/>
                      </w:rPr>
                      <w:t xml:space="preserve"> </w:t>
                    </w:r>
                    <w:r>
                      <w:rPr>
                        <w:b/>
                        <w:spacing w:val="-2"/>
                        <w:w w:val="95"/>
                        <w:sz w:val="24"/>
                      </w:rPr>
                      <w:t>Justisia:</w:t>
                    </w:r>
                  </w:p>
                  <w:p w:rsidR="00143FDB" w:rsidRDefault="006A44E3">
                    <w:pPr>
                      <w:spacing w:before="12"/>
                      <w:ind w:left="20"/>
                      <w:rPr>
                        <w:b/>
                        <w:sz w:val="16"/>
                      </w:rPr>
                    </w:pPr>
                    <w:r>
                      <w:rPr>
                        <w:b/>
                        <w:sz w:val="16"/>
                      </w:rPr>
                      <w:t>Vol.</w:t>
                    </w:r>
                    <w:r>
                      <w:rPr>
                        <w:b/>
                        <w:spacing w:val="-8"/>
                        <w:sz w:val="16"/>
                      </w:rPr>
                      <w:t xml:space="preserve"> </w:t>
                    </w:r>
                    <w:r>
                      <w:rPr>
                        <w:b/>
                        <w:sz w:val="16"/>
                      </w:rPr>
                      <w:t>24,</w:t>
                    </w:r>
                    <w:r>
                      <w:rPr>
                        <w:b/>
                        <w:spacing w:val="-4"/>
                        <w:sz w:val="16"/>
                      </w:rPr>
                      <w:t xml:space="preserve"> </w:t>
                    </w:r>
                    <w:r>
                      <w:rPr>
                        <w:b/>
                        <w:sz w:val="16"/>
                      </w:rPr>
                      <w:t>No.</w:t>
                    </w:r>
                    <w:r>
                      <w:rPr>
                        <w:b/>
                        <w:spacing w:val="-3"/>
                        <w:sz w:val="16"/>
                      </w:rPr>
                      <w:t xml:space="preserve"> </w:t>
                    </w:r>
                    <w:r>
                      <w:rPr>
                        <w:b/>
                        <w:sz w:val="16"/>
                      </w:rPr>
                      <w:t>2,</w:t>
                    </w:r>
                    <w:r>
                      <w:rPr>
                        <w:b/>
                        <w:spacing w:val="-3"/>
                        <w:sz w:val="16"/>
                      </w:rPr>
                      <w:t xml:space="preserve"> </w:t>
                    </w:r>
                    <w:r>
                      <w:rPr>
                        <w:b/>
                        <w:sz w:val="16"/>
                      </w:rPr>
                      <w:t>June,</w:t>
                    </w:r>
                    <w:r>
                      <w:rPr>
                        <w:b/>
                        <w:spacing w:val="-18"/>
                        <w:sz w:val="16"/>
                      </w:rPr>
                      <w:t xml:space="preserve"> </w:t>
                    </w:r>
                    <w:r>
                      <w:rPr>
                        <w:b/>
                        <w:spacing w:val="-4"/>
                        <w:sz w:val="16"/>
                      </w:rPr>
                      <w:t>2025</w:t>
                    </w:r>
                  </w:p>
                </w:txbxContent>
              </v:textbox>
              <w10:wrap anchorx="page" anchory="page"/>
            </v:shape>
          </w:pict>
        </mc:Fallback>
      </mc:AlternateContent>
    </w:r>
    <w:r>
      <w:rPr>
        <w:noProof/>
        <w:sz w:val="20"/>
      </w:rPr>
      <mc:AlternateContent>
        <mc:Choice Requires="wps">
          <w:drawing>
            <wp:anchor distT="0" distB="0" distL="0" distR="0" simplePos="0" relativeHeight="487379456" behindDoc="1" locked="0" layoutInCell="1" allowOverlap="1">
              <wp:simplePos x="0" y="0"/>
              <wp:positionH relativeFrom="page">
                <wp:posOffset>2572639</wp:posOffset>
              </wp:positionH>
              <wp:positionV relativeFrom="page">
                <wp:posOffset>360073</wp:posOffset>
              </wp:positionV>
              <wp:extent cx="3710304" cy="158750"/>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10304" cy="158750"/>
                      </a:xfrm>
                      <a:prstGeom prst="rect">
                        <a:avLst/>
                      </a:prstGeom>
                    </wps:spPr>
                    <wps:txbx>
                      <w:txbxContent>
                        <w:p w:rsidR="00143FDB" w:rsidRDefault="006A44E3">
                          <w:pPr>
                            <w:spacing w:before="11"/>
                            <w:ind w:left="20"/>
                            <w:rPr>
                              <w:b/>
                              <w:sz w:val="19"/>
                            </w:rPr>
                          </w:pPr>
                          <w:r>
                            <w:rPr>
                              <w:b/>
                              <w:color w:val="769239"/>
                              <w:sz w:val="19"/>
                            </w:rPr>
                            <w:t>[</w:t>
                          </w:r>
                          <w:r>
                            <w:rPr>
                              <w:b/>
                              <w:sz w:val="19"/>
                            </w:rPr>
                            <w:t>PENA</w:t>
                          </w:r>
                          <w:r>
                            <w:rPr>
                              <w:b/>
                              <w:spacing w:val="-4"/>
                              <w:sz w:val="19"/>
                            </w:rPr>
                            <w:t xml:space="preserve"> </w:t>
                          </w:r>
                          <w:r>
                            <w:rPr>
                              <w:b/>
                              <w:sz w:val="19"/>
                            </w:rPr>
                            <w:t>JUSTISIA:</w:t>
                          </w:r>
                          <w:r>
                            <w:rPr>
                              <w:b/>
                              <w:spacing w:val="19"/>
                              <w:sz w:val="19"/>
                            </w:rPr>
                            <w:t xml:space="preserve"> </w:t>
                          </w:r>
                          <w:r>
                            <w:rPr>
                              <w:b/>
                              <w:sz w:val="19"/>
                            </w:rPr>
                            <w:t>MEDIA</w:t>
                          </w:r>
                          <w:r>
                            <w:rPr>
                              <w:b/>
                              <w:spacing w:val="24"/>
                              <w:sz w:val="19"/>
                            </w:rPr>
                            <w:t xml:space="preserve"> </w:t>
                          </w:r>
                          <w:r>
                            <w:rPr>
                              <w:b/>
                              <w:sz w:val="19"/>
                            </w:rPr>
                            <w:t>KOMUNIKAS</w:t>
                          </w:r>
                          <w:r>
                            <w:rPr>
                              <w:b/>
                              <w:spacing w:val="-21"/>
                              <w:sz w:val="19"/>
                            </w:rPr>
                            <w:t xml:space="preserve"> </w:t>
                          </w:r>
                          <w:r>
                            <w:rPr>
                              <w:b/>
                              <w:sz w:val="19"/>
                            </w:rPr>
                            <w:t>I</w:t>
                          </w:r>
                          <w:r>
                            <w:rPr>
                              <w:b/>
                              <w:spacing w:val="11"/>
                              <w:sz w:val="19"/>
                            </w:rPr>
                            <w:t xml:space="preserve"> </w:t>
                          </w:r>
                          <w:r>
                            <w:rPr>
                              <w:b/>
                              <w:sz w:val="19"/>
                            </w:rPr>
                            <w:t>DAN</w:t>
                          </w:r>
                          <w:r>
                            <w:rPr>
                              <w:b/>
                              <w:spacing w:val="-3"/>
                              <w:sz w:val="19"/>
                            </w:rPr>
                            <w:t xml:space="preserve"> </w:t>
                          </w:r>
                          <w:r>
                            <w:rPr>
                              <w:b/>
                              <w:sz w:val="19"/>
                            </w:rPr>
                            <w:t>KAJIAN</w:t>
                          </w:r>
                          <w:r>
                            <w:rPr>
                              <w:b/>
                              <w:spacing w:val="7"/>
                              <w:sz w:val="19"/>
                            </w:rPr>
                            <w:t xml:space="preserve"> </w:t>
                          </w:r>
                          <w:r>
                            <w:rPr>
                              <w:b/>
                              <w:spacing w:val="-2"/>
                              <w:sz w:val="19"/>
                            </w:rPr>
                            <w:t>HUKUM</w:t>
                          </w:r>
                          <w:r>
                            <w:rPr>
                              <w:b/>
                              <w:color w:val="769239"/>
                              <w:spacing w:val="-2"/>
                              <w:sz w:val="19"/>
                            </w:rPr>
                            <w:t>]</w:t>
                          </w:r>
                        </w:p>
                      </w:txbxContent>
                    </wps:txbx>
                    <wps:bodyPr wrap="square" lIns="0" tIns="0" rIns="0" bIns="0" rtlCol="0">
                      <a:noAutofit/>
                    </wps:bodyPr>
                  </wps:wsp>
                </a:graphicData>
              </a:graphic>
            </wp:anchor>
          </w:drawing>
        </mc:Choice>
        <mc:Fallback>
          <w:pict>
            <v:shape id="Textbox 24" o:spid="_x0000_s1037" type="#_x0000_t202" style="position:absolute;margin-left:202.55pt;margin-top:28.35pt;width:292.15pt;height:12.5pt;z-index:-15937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" filled="f" stroked="f">
              <v:path arrowok="t"/>
              <v:textbox inset="0,0,0,0">
                <w:txbxContent>
                  <w:p w:rsidR="00143FDB" w:rsidRDefault="006A44E3">
                    <w:pPr>
                      <w:spacing w:before="11"/>
                      <w:ind w:left="20"/>
                      <w:rPr>
                        <w:b/>
                        <w:sz w:val="19"/>
                      </w:rPr>
                    </w:pPr>
                    <w:r>
                      <w:rPr>
                        <w:b/>
                        <w:color w:val="769239"/>
                        <w:sz w:val="19"/>
                      </w:rPr>
                      <w:t>[</w:t>
                    </w:r>
                    <w:r>
                      <w:rPr>
                        <w:b/>
                        <w:sz w:val="19"/>
                      </w:rPr>
                      <w:t>PENA</w:t>
                    </w:r>
                    <w:r>
                      <w:rPr>
                        <w:b/>
                        <w:spacing w:val="-4"/>
                        <w:sz w:val="19"/>
                      </w:rPr>
                      <w:t xml:space="preserve"> </w:t>
                    </w:r>
                    <w:r>
                      <w:rPr>
                        <w:b/>
                        <w:sz w:val="19"/>
                      </w:rPr>
                      <w:t>JUSTISIA:</w:t>
                    </w:r>
                    <w:r>
                      <w:rPr>
                        <w:b/>
                        <w:spacing w:val="19"/>
                        <w:sz w:val="19"/>
                      </w:rPr>
                      <w:t xml:space="preserve"> </w:t>
                    </w:r>
                    <w:r>
                      <w:rPr>
                        <w:b/>
                        <w:sz w:val="19"/>
                      </w:rPr>
                      <w:t>MEDIA</w:t>
                    </w:r>
                    <w:r>
                      <w:rPr>
                        <w:b/>
                        <w:spacing w:val="24"/>
                        <w:sz w:val="19"/>
                      </w:rPr>
                      <w:t xml:space="preserve"> </w:t>
                    </w:r>
                    <w:r>
                      <w:rPr>
                        <w:b/>
                        <w:sz w:val="19"/>
                      </w:rPr>
                      <w:t>KOMUNIKAS</w:t>
                    </w:r>
                    <w:r>
                      <w:rPr>
                        <w:b/>
                        <w:spacing w:val="-21"/>
                        <w:sz w:val="19"/>
                      </w:rPr>
                      <w:t xml:space="preserve"> </w:t>
                    </w:r>
                    <w:r>
                      <w:rPr>
                        <w:b/>
                        <w:sz w:val="19"/>
                      </w:rPr>
                      <w:t>I</w:t>
                    </w:r>
                    <w:r>
                      <w:rPr>
                        <w:b/>
                        <w:spacing w:val="11"/>
                        <w:sz w:val="19"/>
                      </w:rPr>
                      <w:t xml:space="preserve"> </w:t>
                    </w:r>
                    <w:r>
                      <w:rPr>
                        <w:b/>
                        <w:sz w:val="19"/>
                      </w:rPr>
                      <w:t>DAN</w:t>
                    </w:r>
                    <w:r>
                      <w:rPr>
                        <w:b/>
                        <w:spacing w:val="-3"/>
                        <w:sz w:val="19"/>
                      </w:rPr>
                      <w:t xml:space="preserve"> </w:t>
                    </w:r>
                    <w:r>
                      <w:rPr>
                        <w:b/>
                        <w:sz w:val="19"/>
                      </w:rPr>
                      <w:t>KAJIAN</w:t>
                    </w:r>
                    <w:r>
                      <w:rPr>
                        <w:b/>
                        <w:spacing w:val="7"/>
                        <w:sz w:val="19"/>
                      </w:rPr>
                      <w:t xml:space="preserve"> </w:t>
                    </w:r>
                    <w:r>
                      <w:rPr>
                        <w:b/>
                        <w:spacing w:val="-2"/>
                        <w:sz w:val="19"/>
                      </w:rPr>
                      <w:t>HUKUM</w:t>
                    </w:r>
                    <w:r>
                      <w:rPr>
                        <w:b/>
                        <w:color w:val="769239"/>
                        <w:spacing w:val="-2"/>
                        <w:sz w:val="19"/>
                      </w:rPr>
                      <w:t>]</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3FDB" w:rsidRDefault="006A44E3">
    <w:pPr>
      <w:pStyle w:val="BodyText"/>
      <w:spacing w:line="14" w:lineRule="auto"/>
      <w:ind w:left="0"/>
      <w:jc w:val="left"/>
      <w:rPr>
        <w:sz w:val="20"/>
      </w:rPr>
    </w:pPr>
    <w:r>
      <w:rPr>
        <w:noProof/>
        <w:sz w:val="20"/>
      </w:rPr>
      <mc:AlternateContent>
        <mc:Choice Requires="wpg">
          <w:drawing>
            <wp:anchor distT="0" distB="0" distL="0" distR="0" simplePos="0" relativeHeight="487379968" behindDoc="1" locked="0" layoutInCell="1" allowOverlap="1">
              <wp:simplePos x="0" y="0"/>
              <wp:positionH relativeFrom="page">
                <wp:posOffset>1070610</wp:posOffset>
              </wp:positionH>
              <wp:positionV relativeFrom="page">
                <wp:posOffset>179324</wp:posOffset>
              </wp:positionV>
              <wp:extent cx="5338445" cy="384810"/>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38445" cy="384810"/>
                        <a:chOff x="0" y="0"/>
                        <a:chExt cx="5338445" cy="384810"/>
                      </a:xfrm>
                    </wpg:grpSpPr>
                    <wps:wsp>
                      <wps:cNvPr id="27" name="Graphic 27"/>
                      <wps:cNvSpPr/>
                      <wps:spPr>
                        <a:xfrm>
                          <a:off x="0" y="0"/>
                          <a:ext cx="1391285" cy="384810"/>
                        </a:xfrm>
                        <a:custGeom>
                          <a:avLst/>
                          <a:gdLst/>
                          <a:ahLst/>
                          <a:cxnLst/>
                          <a:rect l="l" t="t" r="r" b="b"/>
                          <a:pathLst>
                            <a:path w="1391285" h="384810">
                              <a:moveTo>
                                <a:pt x="1391285" y="0"/>
                              </a:moveTo>
                              <a:lnTo>
                                <a:pt x="8890" y="0"/>
                              </a:lnTo>
                              <a:lnTo>
                                <a:pt x="8890" y="378460"/>
                              </a:lnTo>
                              <a:lnTo>
                                <a:pt x="0" y="378460"/>
                              </a:lnTo>
                              <a:lnTo>
                                <a:pt x="0" y="384810"/>
                              </a:lnTo>
                              <a:lnTo>
                                <a:pt x="1391285" y="384810"/>
                              </a:lnTo>
                              <a:lnTo>
                                <a:pt x="1391285" y="378460"/>
                              </a:lnTo>
                              <a:lnTo>
                                <a:pt x="1391285" y="0"/>
                              </a:lnTo>
                              <a:close/>
                            </a:path>
                          </a:pathLst>
                        </a:custGeom>
                        <a:solidFill>
                          <a:srgbClr val="923634"/>
                        </a:solidFill>
                      </wps:spPr>
                      <wps:bodyPr wrap="square" lIns="0" tIns="0" rIns="0" bIns="0" rtlCol="0">
                        <a:prstTxWarp prst="textNoShape">
                          <a:avLst/>
                        </a:prstTxWarp>
                        <a:noAutofit/>
                      </wps:bodyPr>
                    </wps:wsp>
                    <wps:wsp>
                      <wps:cNvPr id="28" name="Graphic 28"/>
                      <wps:cNvSpPr/>
                      <wps:spPr>
                        <a:xfrm>
                          <a:off x="1383030" y="377570"/>
                          <a:ext cx="3955415" cy="6350"/>
                        </a:xfrm>
                        <a:custGeom>
                          <a:avLst/>
                          <a:gdLst/>
                          <a:ahLst/>
                          <a:cxnLst/>
                          <a:rect l="l" t="t" r="r" b="b"/>
                          <a:pathLst>
                            <a:path w="3955415" h="6350">
                              <a:moveTo>
                                <a:pt x="3955415" y="0"/>
                              </a:moveTo>
                              <a:lnTo>
                                <a:pt x="0" y="0"/>
                              </a:lnTo>
                              <a:lnTo>
                                <a:pt x="0" y="6350"/>
                              </a:lnTo>
                              <a:lnTo>
                                <a:pt x="3955415" y="6350"/>
                              </a:lnTo>
                              <a:lnTo>
                                <a:pt x="395541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1AA821E" id="Group 26" o:spid="_x0000_s1026" style="position:absolute;margin-left:84.3pt;margin-top:14.1pt;width:420.35pt;height:30.3pt;z-index:-15936512;mso-wrap-distance-left:0;mso-wrap-distance-right:0;mso-position-horizontal-relative:page;mso-position-vertical-relative:page" coordsize="53384,3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">
              <v:shape id="Graphic 27" o:spid="_x0000_s1027" style="position:absolute;width:13912;height:3848;visibility:visible;mso-wrap-style:square;v-text-anchor:top" coordsize="1391285,384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" path="m1391285,l8890,r,378460l,378460r,6350l1391285,384810r,-6350l1391285,xe" fillcolor="#923634" stroked="f">
                <v:path arrowok="t"/>
              </v:shape>
              <v:shape id="Graphic 28" o:spid="_x0000_s1028" style="position:absolute;left:13830;top:3775;width:39554;height:64;visibility:visible;mso-wrap-style:square;v-text-anchor:top" coordsize="39554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" path="m3955415,l,,,6350r3955415,l3955415,xe" fillcolor="black" stroked="f">
                <v:path arrowok="t"/>
              </v:shape>
              <w10:wrap anchorx="page" anchory="page"/>
            </v:group>
          </w:pict>
        </mc:Fallback>
      </mc:AlternateContent>
    </w:r>
    <w:r>
      <w:rPr>
        <w:noProof/>
        <w:sz w:val="20"/>
      </w:rPr>
      <mc:AlternateContent>
        <mc:Choice Requires="wps">
          <w:drawing>
            <wp:anchor distT="0" distB="0" distL="0" distR="0" simplePos="0" relativeHeight="487380480" behindDoc="1" locked="0" layoutInCell="1" allowOverlap="1">
              <wp:simplePos x="0" y="0"/>
              <wp:positionH relativeFrom="page">
                <wp:posOffset>1132128</wp:posOffset>
              </wp:positionH>
              <wp:positionV relativeFrom="page">
                <wp:posOffset>203538</wp:posOffset>
              </wp:positionV>
              <wp:extent cx="1104265" cy="31940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265" cy="319405"/>
                      </a:xfrm>
                      <a:prstGeom prst="rect">
                        <a:avLst/>
                      </a:prstGeom>
                    </wps:spPr>
                    <wps:txbx>
                      <w:txbxContent>
                        <w:p w:rsidR="00143FDB" w:rsidRDefault="006A44E3">
                          <w:pPr>
                            <w:spacing w:before="10"/>
                            <w:ind w:left="305"/>
                            <w:rPr>
                              <w:b/>
                              <w:sz w:val="24"/>
                            </w:rPr>
                          </w:pPr>
                          <w:r>
                            <w:rPr>
                              <w:b/>
                              <w:w w:val="90"/>
                              <w:sz w:val="24"/>
                            </w:rPr>
                            <w:t>Pena</w:t>
                          </w:r>
                          <w:r>
                            <w:rPr>
                              <w:b/>
                              <w:spacing w:val="29"/>
                              <w:sz w:val="24"/>
                            </w:rPr>
                            <w:t xml:space="preserve"> </w:t>
                          </w:r>
                          <w:r>
                            <w:rPr>
                              <w:b/>
                              <w:spacing w:val="-2"/>
                              <w:w w:val="95"/>
                              <w:sz w:val="24"/>
                            </w:rPr>
                            <w:t>Justisia:</w:t>
                          </w:r>
                        </w:p>
                        <w:p w:rsidR="00143FDB" w:rsidRDefault="006A44E3">
                          <w:pPr>
                            <w:spacing w:before="12"/>
                            <w:ind w:left="20"/>
                            <w:rPr>
                              <w:b/>
                              <w:sz w:val="16"/>
                            </w:rPr>
                          </w:pPr>
                          <w:r>
                            <w:rPr>
                              <w:b/>
                              <w:sz w:val="16"/>
                            </w:rPr>
                            <w:t>Vol.</w:t>
                          </w:r>
                          <w:r>
                            <w:rPr>
                              <w:b/>
                              <w:spacing w:val="-8"/>
                              <w:sz w:val="16"/>
                            </w:rPr>
                            <w:t xml:space="preserve"> </w:t>
                          </w:r>
                          <w:r>
                            <w:rPr>
                              <w:b/>
                              <w:sz w:val="16"/>
                            </w:rPr>
                            <w:t>24,</w:t>
                          </w:r>
                          <w:r>
                            <w:rPr>
                              <w:b/>
                              <w:spacing w:val="-4"/>
                              <w:sz w:val="16"/>
                            </w:rPr>
                            <w:t xml:space="preserve"> </w:t>
                          </w:r>
                          <w:r>
                            <w:rPr>
                              <w:b/>
                              <w:sz w:val="16"/>
                            </w:rPr>
                            <w:t>No.</w:t>
                          </w:r>
                          <w:r>
                            <w:rPr>
                              <w:b/>
                              <w:spacing w:val="-3"/>
                              <w:sz w:val="16"/>
                            </w:rPr>
                            <w:t xml:space="preserve"> </w:t>
                          </w:r>
                          <w:r>
                            <w:rPr>
                              <w:b/>
                              <w:sz w:val="16"/>
                            </w:rPr>
                            <w:t>2,</w:t>
                          </w:r>
                          <w:r>
                            <w:rPr>
                              <w:b/>
                              <w:spacing w:val="-3"/>
                              <w:sz w:val="16"/>
                            </w:rPr>
                            <w:t xml:space="preserve"> </w:t>
                          </w:r>
                          <w:r>
                            <w:rPr>
                              <w:b/>
                              <w:sz w:val="16"/>
                            </w:rPr>
                            <w:t>June,</w:t>
                          </w:r>
                          <w:r>
                            <w:rPr>
                              <w:b/>
                              <w:spacing w:val="-18"/>
                              <w:sz w:val="16"/>
                            </w:rPr>
                            <w:t xml:space="preserve"> </w:t>
                          </w:r>
                          <w:r>
                            <w:rPr>
                              <w:b/>
                              <w:spacing w:val="-4"/>
                              <w:sz w:val="16"/>
                            </w:rPr>
                            <w:t>2025</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9" o:spid="_x0000_s1038" type="#_x0000_t202" style="position:absolute;margin-left:89.15pt;margin-top:16.05pt;width:86.95pt;height:25.15pt;z-index:-15936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" filled="f" stroked="f">
              <v:path arrowok="t"/>
              <v:textbox inset="0,0,0,0">
                <w:txbxContent>
                  <w:p w:rsidR="00143FDB" w:rsidRDefault="006A44E3">
                    <w:pPr>
                      <w:spacing w:before="10"/>
                      <w:ind w:left="305"/>
                      <w:rPr>
                        <w:b/>
                        <w:sz w:val="24"/>
                      </w:rPr>
                    </w:pPr>
                    <w:r>
                      <w:rPr>
                        <w:b/>
                        <w:w w:val="90"/>
                        <w:sz w:val="24"/>
                      </w:rPr>
                      <w:t>Pena</w:t>
                    </w:r>
                    <w:r>
                      <w:rPr>
                        <w:b/>
                        <w:spacing w:val="29"/>
                        <w:sz w:val="24"/>
                      </w:rPr>
                      <w:t xml:space="preserve"> </w:t>
                    </w:r>
                    <w:r>
                      <w:rPr>
                        <w:b/>
                        <w:spacing w:val="-2"/>
                        <w:w w:val="95"/>
                        <w:sz w:val="24"/>
                      </w:rPr>
                      <w:t>Justisia:</w:t>
                    </w:r>
                  </w:p>
                  <w:p w:rsidR="00143FDB" w:rsidRDefault="006A44E3">
                    <w:pPr>
                      <w:spacing w:before="12"/>
                      <w:ind w:left="20"/>
                      <w:rPr>
                        <w:b/>
                        <w:sz w:val="16"/>
                      </w:rPr>
                    </w:pPr>
                    <w:r>
                      <w:rPr>
                        <w:b/>
                        <w:sz w:val="16"/>
                      </w:rPr>
                      <w:t>Vol.</w:t>
                    </w:r>
                    <w:r>
                      <w:rPr>
                        <w:b/>
                        <w:spacing w:val="-8"/>
                        <w:sz w:val="16"/>
                      </w:rPr>
                      <w:t xml:space="preserve"> </w:t>
                    </w:r>
                    <w:r>
                      <w:rPr>
                        <w:b/>
                        <w:sz w:val="16"/>
                      </w:rPr>
                      <w:t>24,</w:t>
                    </w:r>
                    <w:r>
                      <w:rPr>
                        <w:b/>
                        <w:spacing w:val="-4"/>
                        <w:sz w:val="16"/>
                      </w:rPr>
                      <w:t xml:space="preserve"> </w:t>
                    </w:r>
                    <w:r>
                      <w:rPr>
                        <w:b/>
                        <w:sz w:val="16"/>
                      </w:rPr>
                      <w:t>No.</w:t>
                    </w:r>
                    <w:r>
                      <w:rPr>
                        <w:b/>
                        <w:spacing w:val="-3"/>
                        <w:sz w:val="16"/>
                      </w:rPr>
                      <w:t xml:space="preserve"> </w:t>
                    </w:r>
                    <w:r>
                      <w:rPr>
                        <w:b/>
                        <w:sz w:val="16"/>
                      </w:rPr>
                      <w:t>2,</w:t>
                    </w:r>
                    <w:r>
                      <w:rPr>
                        <w:b/>
                        <w:spacing w:val="-3"/>
                        <w:sz w:val="16"/>
                      </w:rPr>
                      <w:t xml:space="preserve"> </w:t>
                    </w:r>
                    <w:r>
                      <w:rPr>
                        <w:b/>
                        <w:sz w:val="16"/>
                      </w:rPr>
                      <w:t>June,</w:t>
                    </w:r>
                    <w:r>
                      <w:rPr>
                        <w:b/>
                        <w:spacing w:val="-18"/>
                        <w:sz w:val="16"/>
                      </w:rPr>
                      <w:t xml:space="preserve"> </w:t>
                    </w:r>
                    <w:r>
                      <w:rPr>
                        <w:b/>
                        <w:spacing w:val="-4"/>
                        <w:sz w:val="16"/>
                      </w:rPr>
                      <w:t>2025</w:t>
                    </w:r>
                  </w:p>
                </w:txbxContent>
              </v:textbox>
              <w10:wrap anchorx="page" anchory="page"/>
            </v:shape>
          </w:pict>
        </mc:Fallback>
      </mc:AlternateContent>
    </w:r>
    <w:r>
      <w:rPr>
        <w:noProof/>
        <w:sz w:val="20"/>
      </w:rPr>
      <mc:AlternateContent>
        <mc:Choice Requires="wps">
          <w:drawing>
            <wp:anchor distT="0" distB="0" distL="0" distR="0" simplePos="0" relativeHeight="487380992" behindDoc="1" locked="0" layoutInCell="1" allowOverlap="1">
              <wp:simplePos x="0" y="0"/>
              <wp:positionH relativeFrom="page">
                <wp:posOffset>2572639</wp:posOffset>
              </wp:positionH>
              <wp:positionV relativeFrom="page">
                <wp:posOffset>360073</wp:posOffset>
              </wp:positionV>
              <wp:extent cx="3710304" cy="15875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10304" cy="158750"/>
                      </a:xfrm>
                      <a:prstGeom prst="rect">
                        <a:avLst/>
                      </a:prstGeom>
                    </wps:spPr>
                    <wps:txbx>
                      <w:txbxContent>
                        <w:p w:rsidR="00143FDB" w:rsidRDefault="006A44E3">
                          <w:pPr>
                            <w:spacing w:before="11"/>
                            <w:ind w:left="20"/>
                            <w:rPr>
                              <w:b/>
                              <w:sz w:val="19"/>
                            </w:rPr>
                          </w:pPr>
                          <w:r>
                            <w:rPr>
                              <w:b/>
                              <w:color w:val="769239"/>
                              <w:sz w:val="19"/>
                            </w:rPr>
                            <w:t>[</w:t>
                          </w:r>
                          <w:r>
                            <w:rPr>
                              <w:b/>
                              <w:sz w:val="19"/>
                            </w:rPr>
                            <w:t>PENA</w:t>
                          </w:r>
                          <w:r>
                            <w:rPr>
                              <w:b/>
                              <w:spacing w:val="-4"/>
                              <w:sz w:val="19"/>
                            </w:rPr>
                            <w:t xml:space="preserve"> </w:t>
                          </w:r>
                          <w:r>
                            <w:rPr>
                              <w:b/>
                              <w:sz w:val="19"/>
                            </w:rPr>
                            <w:t>JUSTISIA:</w:t>
                          </w:r>
                          <w:r>
                            <w:rPr>
                              <w:b/>
                              <w:spacing w:val="19"/>
                              <w:sz w:val="19"/>
                            </w:rPr>
                            <w:t xml:space="preserve"> </w:t>
                          </w:r>
                          <w:r>
                            <w:rPr>
                              <w:b/>
                              <w:sz w:val="19"/>
                            </w:rPr>
                            <w:t>MEDIA</w:t>
                          </w:r>
                          <w:r>
                            <w:rPr>
                              <w:b/>
                              <w:spacing w:val="24"/>
                              <w:sz w:val="19"/>
                            </w:rPr>
                            <w:t xml:space="preserve"> </w:t>
                          </w:r>
                          <w:r>
                            <w:rPr>
                              <w:b/>
                              <w:sz w:val="19"/>
                            </w:rPr>
                            <w:t>KOMUNIKAS</w:t>
                          </w:r>
                          <w:r>
                            <w:rPr>
                              <w:b/>
                              <w:spacing w:val="-21"/>
                              <w:sz w:val="19"/>
                            </w:rPr>
                            <w:t xml:space="preserve"> </w:t>
                          </w:r>
                          <w:r>
                            <w:rPr>
                              <w:b/>
                              <w:sz w:val="19"/>
                            </w:rPr>
                            <w:t>I</w:t>
                          </w:r>
                          <w:r>
                            <w:rPr>
                              <w:b/>
                              <w:spacing w:val="11"/>
                              <w:sz w:val="19"/>
                            </w:rPr>
                            <w:t xml:space="preserve"> </w:t>
                          </w:r>
                          <w:r>
                            <w:rPr>
                              <w:b/>
                              <w:sz w:val="19"/>
                            </w:rPr>
                            <w:t>DAN</w:t>
                          </w:r>
                          <w:r>
                            <w:rPr>
                              <w:b/>
                              <w:spacing w:val="-3"/>
                              <w:sz w:val="19"/>
                            </w:rPr>
                            <w:t xml:space="preserve"> </w:t>
                          </w:r>
                          <w:r>
                            <w:rPr>
                              <w:b/>
                              <w:sz w:val="19"/>
                            </w:rPr>
                            <w:t>KAJIAN</w:t>
                          </w:r>
                          <w:r>
                            <w:rPr>
                              <w:b/>
                              <w:spacing w:val="7"/>
                              <w:sz w:val="19"/>
                            </w:rPr>
                            <w:t xml:space="preserve"> </w:t>
                          </w:r>
                          <w:r>
                            <w:rPr>
                              <w:b/>
                              <w:spacing w:val="-2"/>
                              <w:sz w:val="19"/>
                            </w:rPr>
                            <w:t>HUKUM</w:t>
                          </w:r>
                          <w:r>
                            <w:rPr>
                              <w:b/>
                              <w:color w:val="769239"/>
                              <w:spacing w:val="-2"/>
                              <w:sz w:val="19"/>
                            </w:rPr>
                            <w:t>]</w:t>
                          </w:r>
                        </w:p>
                      </w:txbxContent>
                    </wps:txbx>
                    <wps:bodyPr wrap="square" lIns="0" tIns="0" rIns="0" bIns="0" rtlCol="0">
                      <a:noAutofit/>
                    </wps:bodyPr>
                  </wps:wsp>
                </a:graphicData>
              </a:graphic>
            </wp:anchor>
          </w:drawing>
        </mc:Choice>
        <mc:Fallback>
          <w:pict>
            <v:shape id="Textbox 30" o:spid="_x0000_s1039" type="#_x0000_t202" style="position:absolute;margin-left:202.55pt;margin-top:28.35pt;width:292.15pt;height:12.5pt;z-index:-15935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" filled="f" stroked="f">
              <v:path arrowok="t"/>
              <v:textbox inset="0,0,0,0">
                <w:txbxContent>
                  <w:p w:rsidR="00143FDB" w:rsidRDefault="006A44E3">
                    <w:pPr>
                      <w:spacing w:before="11"/>
                      <w:ind w:left="20"/>
                      <w:rPr>
                        <w:b/>
                        <w:sz w:val="19"/>
                      </w:rPr>
                    </w:pPr>
                    <w:r>
                      <w:rPr>
                        <w:b/>
                        <w:color w:val="769239"/>
                        <w:sz w:val="19"/>
                      </w:rPr>
                      <w:t>[</w:t>
                    </w:r>
                    <w:r>
                      <w:rPr>
                        <w:b/>
                        <w:sz w:val="19"/>
                      </w:rPr>
                      <w:t>PENA</w:t>
                    </w:r>
                    <w:r>
                      <w:rPr>
                        <w:b/>
                        <w:spacing w:val="-4"/>
                        <w:sz w:val="19"/>
                      </w:rPr>
                      <w:t xml:space="preserve"> </w:t>
                    </w:r>
                    <w:r>
                      <w:rPr>
                        <w:b/>
                        <w:sz w:val="19"/>
                      </w:rPr>
                      <w:t>JUSTISIA:</w:t>
                    </w:r>
                    <w:r>
                      <w:rPr>
                        <w:b/>
                        <w:spacing w:val="19"/>
                        <w:sz w:val="19"/>
                      </w:rPr>
                      <w:t xml:space="preserve"> </w:t>
                    </w:r>
                    <w:r>
                      <w:rPr>
                        <w:b/>
                        <w:sz w:val="19"/>
                      </w:rPr>
                      <w:t>MEDIA</w:t>
                    </w:r>
                    <w:r>
                      <w:rPr>
                        <w:b/>
                        <w:spacing w:val="24"/>
                        <w:sz w:val="19"/>
                      </w:rPr>
                      <w:t xml:space="preserve"> </w:t>
                    </w:r>
                    <w:r>
                      <w:rPr>
                        <w:b/>
                        <w:sz w:val="19"/>
                      </w:rPr>
                      <w:t>KOMUNIKAS</w:t>
                    </w:r>
                    <w:r>
                      <w:rPr>
                        <w:b/>
                        <w:spacing w:val="-21"/>
                        <w:sz w:val="19"/>
                      </w:rPr>
                      <w:t xml:space="preserve"> </w:t>
                    </w:r>
                    <w:r>
                      <w:rPr>
                        <w:b/>
                        <w:sz w:val="19"/>
                      </w:rPr>
                      <w:t>I</w:t>
                    </w:r>
                    <w:r>
                      <w:rPr>
                        <w:b/>
                        <w:spacing w:val="11"/>
                        <w:sz w:val="19"/>
                      </w:rPr>
                      <w:t xml:space="preserve"> </w:t>
                    </w:r>
                    <w:r>
                      <w:rPr>
                        <w:b/>
                        <w:sz w:val="19"/>
                      </w:rPr>
                      <w:t>DAN</w:t>
                    </w:r>
                    <w:r>
                      <w:rPr>
                        <w:b/>
                        <w:spacing w:val="-3"/>
                        <w:sz w:val="19"/>
                      </w:rPr>
                      <w:t xml:space="preserve"> </w:t>
                    </w:r>
                    <w:r>
                      <w:rPr>
                        <w:b/>
                        <w:sz w:val="19"/>
                      </w:rPr>
                      <w:t>KAJIAN</w:t>
                    </w:r>
                    <w:r>
                      <w:rPr>
                        <w:b/>
                        <w:spacing w:val="7"/>
                        <w:sz w:val="19"/>
                      </w:rPr>
                      <w:t xml:space="preserve"> </w:t>
                    </w:r>
                    <w:r>
                      <w:rPr>
                        <w:b/>
                        <w:spacing w:val="-2"/>
                        <w:sz w:val="19"/>
                      </w:rPr>
                      <w:t>HUKUM</w:t>
                    </w:r>
                    <w:r>
                      <w:rPr>
                        <w:b/>
                        <w:color w:val="769239"/>
                        <w:spacing w:val="-2"/>
                        <w:sz w:val="19"/>
                      </w:rPr>
                      <w:t>]</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3FDB" w:rsidRDefault="006A44E3">
    <w:pPr>
      <w:pStyle w:val="BodyText"/>
      <w:spacing w:line="14" w:lineRule="auto"/>
      <w:ind w:left="0"/>
      <w:jc w:val="left"/>
      <w:rPr>
        <w:sz w:val="20"/>
      </w:rPr>
    </w:pPr>
    <w:r>
      <w:rPr>
        <w:noProof/>
        <w:sz w:val="20"/>
      </w:rPr>
      <mc:AlternateContent>
        <mc:Choice Requires="wpg">
          <w:drawing>
            <wp:anchor distT="0" distB="0" distL="0" distR="0" simplePos="0" relativeHeight="487381504" behindDoc="1" locked="0" layoutInCell="1" allowOverlap="1">
              <wp:simplePos x="0" y="0"/>
              <wp:positionH relativeFrom="page">
                <wp:posOffset>1070610</wp:posOffset>
              </wp:positionH>
              <wp:positionV relativeFrom="page">
                <wp:posOffset>179324</wp:posOffset>
              </wp:positionV>
              <wp:extent cx="5338445" cy="384810"/>
              <wp:effectExtent l="0" t="0" r="0" b="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38445" cy="384810"/>
                        <a:chOff x="0" y="0"/>
                        <a:chExt cx="5338445" cy="384810"/>
                      </a:xfrm>
                    </wpg:grpSpPr>
                    <wps:wsp>
                      <wps:cNvPr id="33" name="Graphic 33"/>
                      <wps:cNvSpPr/>
                      <wps:spPr>
                        <a:xfrm>
                          <a:off x="0" y="0"/>
                          <a:ext cx="1391285" cy="384810"/>
                        </a:xfrm>
                        <a:custGeom>
                          <a:avLst/>
                          <a:gdLst/>
                          <a:ahLst/>
                          <a:cxnLst/>
                          <a:rect l="l" t="t" r="r" b="b"/>
                          <a:pathLst>
                            <a:path w="1391285" h="384810">
                              <a:moveTo>
                                <a:pt x="1391285" y="0"/>
                              </a:moveTo>
                              <a:lnTo>
                                <a:pt x="8890" y="0"/>
                              </a:lnTo>
                              <a:lnTo>
                                <a:pt x="8890" y="378460"/>
                              </a:lnTo>
                              <a:lnTo>
                                <a:pt x="0" y="378460"/>
                              </a:lnTo>
                              <a:lnTo>
                                <a:pt x="0" y="384810"/>
                              </a:lnTo>
                              <a:lnTo>
                                <a:pt x="1391285" y="384810"/>
                              </a:lnTo>
                              <a:lnTo>
                                <a:pt x="1391285" y="378460"/>
                              </a:lnTo>
                              <a:lnTo>
                                <a:pt x="1391285" y="0"/>
                              </a:lnTo>
                              <a:close/>
                            </a:path>
                          </a:pathLst>
                        </a:custGeom>
                        <a:solidFill>
                          <a:srgbClr val="923634"/>
                        </a:solidFill>
                      </wps:spPr>
                      <wps:bodyPr wrap="square" lIns="0" tIns="0" rIns="0" bIns="0" rtlCol="0">
                        <a:prstTxWarp prst="textNoShape">
                          <a:avLst/>
                        </a:prstTxWarp>
                        <a:noAutofit/>
                      </wps:bodyPr>
                    </wps:wsp>
                    <wps:wsp>
                      <wps:cNvPr id="34" name="Graphic 34"/>
                      <wps:cNvSpPr/>
                      <wps:spPr>
                        <a:xfrm>
                          <a:off x="1383030" y="377570"/>
                          <a:ext cx="3955415" cy="6350"/>
                        </a:xfrm>
                        <a:custGeom>
                          <a:avLst/>
                          <a:gdLst/>
                          <a:ahLst/>
                          <a:cxnLst/>
                          <a:rect l="l" t="t" r="r" b="b"/>
                          <a:pathLst>
                            <a:path w="3955415" h="6350">
                              <a:moveTo>
                                <a:pt x="3955415" y="0"/>
                              </a:moveTo>
                              <a:lnTo>
                                <a:pt x="0" y="0"/>
                              </a:lnTo>
                              <a:lnTo>
                                <a:pt x="0" y="6350"/>
                              </a:lnTo>
                              <a:lnTo>
                                <a:pt x="3955415" y="6350"/>
                              </a:lnTo>
                              <a:lnTo>
                                <a:pt x="395541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78EE44D" id="Group 32" o:spid="_x0000_s1026" style="position:absolute;margin-left:84.3pt;margin-top:14.1pt;width:420.35pt;height:30.3pt;z-index:-15934976;mso-wrap-distance-left:0;mso-wrap-distance-right:0;mso-position-horizontal-relative:page;mso-position-vertical-relative:page" coordsize="53384,3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">
              <v:shape id="Graphic 33" o:spid="_x0000_s1027" style="position:absolute;width:13912;height:3848;visibility:visible;mso-wrap-style:square;v-text-anchor:top" coordsize="1391285,384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" path="m1391285,l8890,r,378460l,378460r,6350l1391285,384810r,-6350l1391285,xe" fillcolor="#923634" stroked="f">
                <v:path arrowok="t"/>
              </v:shape>
              <v:shape id="Graphic 34" o:spid="_x0000_s1028" style="position:absolute;left:13830;top:3775;width:39554;height:64;visibility:visible;mso-wrap-style:square;v-text-anchor:top" coordsize="39554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" path="m3955415,l,,,6350r3955415,l3955415,xe" fillcolor="black" stroked="f">
                <v:path arrowok="t"/>
              </v:shape>
              <w10:wrap anchorx="page" anchory="page"/>
            </v:group>
          </w:pict>
        </mc:Fallback>
      </mc:AlternateContent>
    </w:r>
    <w:r>
      <w:rPr>
        <w:noProof/>
        <w:sz w:val="20"/>
      </w:rPr>
      <mc:AlternateContent>
        <mc:Choice Requires="wps">
          <w:drawing>
            <wp:anchor distT="0" distB="0" distL="0" distR="0" simplePos="0" relativeHeight="487382016" behindDoc="1" locked="0" layoutInCell="1" allowOverlap="1">
              <wp:simplePos x="0" y="0"/>
              <wp:positionH relativeFrom="page">
                <wp:posOffset>1132128</wp:posOffset>
              </wp:positionH>
              <wp:positionV relativeFrom="page">
                <wp:posOffset>203538</wp:posOffset>
              </wp:positionV>
              <wp:extent cx="1104265" cy="31940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265" cy="319405"/>
                      </a:xfrm>
                      <a:prstGeom prst="rect">
                        <a:avLst/>
                      </a:prstGeom>
                    </wps:spPr>
                    <wps:txbx>
                      <w:txbxContent>
                        <w:p w:rsidR="00143FDB" w:rsidRDefault="006A44E3">
                          <w:pPr>
                            <w:spacing w:before="10"/>
                            <w:ind w:left="305"/>
                            <w:rPr>
                              <w:b/>
                              <w:sz w:val="24"/>
                            </w:rPr>
                          </w:pPr>
                          <w:r>
                            <w:rPr>
                              <w:b/>
                              <w:w w:val="90"/>
                              <w:sz w:val="24"/>
                            </w:rPr>
                            <w:t>Pena</w:t>
                          </w:r>
                          <w:r>
                            <w:rPr>
                              <w:b/>
                              <w:spacing w:val="29"/>
                              <w:sz w:val="24"/>
                            </w:rPr>
                            <w:t xml:space="preserve"> </w:t>
                          </w:r>
                          <w:r>
                            <w:rPr>
                              <w:b/>
                              <w:spacing w:val="-2"/>
                              <w:w w:val="95"/>
                              <w:sz w:val="24"/>
                            </w:rPr>
                            <w:t>Justisia:</w:t>
                          </w:r>
                        </w:p>
                        <w:p w:rsidR="00143FDB" w:rsidRDefault="006A44E3">
                          <w:pPr>
                            <w:spacing w:before="12"/>
                            <w:ind w:left="20"/>
                            <w:rPr>
                              <w:b/>
                              <w:sz w:val="16"/>
                            </w:rPr>
                          </w:pPr>
                          <w:r>
                            <w:rPr>
                              <w:b/>
                              <w:sz w:val="16"/>
                            </w:rPr>
                            <w:t>Vol.</w:t>
                          </w:r>
                          <w:r>
                            <w:rPr>
                              <w:b/>
                              <w:spacing w:val="-8"/>
                              <w:sz w:val="16"/>
                            </w:rPr>
                            <w:t xml:space="preserve"> </w:t>
                          </w:r>
                          <w:r>
                            <w:rPr>
                              <w:b/>
                              <w:sz w:val="16"/>
                            </w:rPr>
                            <w:t>24,</w:t>
                          </w:r>
                          <w:r>
                            <w:rPr>
                              <w:b/>
                              <w:spacing w:val="-4"/>
                              <w:sz w:val="16"/>
                            </w:rPr>
                            <w:t xml:space="preserve"> </w:t>
                          </w:r>
                          <w:r>
                            <w:rPr>
                              <w:b/>
                              <w:sz w:val="16"/>
                            </w:rPr>
                            <w:t>No.</w:t>
                          </w:r>
                          <w:r>
                            <w:rPr>
                              <w:b/>
                              <w:spacing w:val="-3"/>
                              <w:sz w:val="16"/>
                            </w:rPr>
                            <w:t xml:space="preserve"> </w:t>
                          </w:r>
                          <w:r w:rsidR="002B044E">
                            <w:rPr>
                              <w:b/>
                              <w:spacing w:val="-3"/>
                              <w:sz w:val="16"/>
                            </w:rPr>
                            <w:t>1</w:t>
                          </w:r>
                          <w:r>
                            <w:rPr>
                              <w:b/>
                              <w:sz w:val="16"/>
                            </w:rPr>
                            <w:t>,</w:t>
                          </w:r>
                          <w:r>
                            <w:rPr>
                              <w:b/>
                              <w:spacing w:val="-3"/>
                              <w:sz w:val="16"/>
                            </w:rPr>
                            <w:t xml:space="preserve"> </w:t>
                          </w:r>
                          <w:r>
                            <w:rPr>
                              <w:b/>
                              <w:sz w:val="16"/>
                            </w:rPr>
                            <w:t>June,</w:t>
                          </w:r>
                          <w:r>
                            <w:rPr>
                              <w:b/>
                              <w:spacing w:val="-18"/>
                              <w:sz w:val="16"/>
                            </w:rPr>
                            <w:t xml:space="preserve"> </w:t>
                          </w:r>
                          <w:r>
                            <w:rPr>
                              <w:b/>
                              <w:spacing w:val="-4"/>
                              <w:sz w:val="16"/>
                            </w:rPr>
                            <w:t>2025</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5" o:spid="_x0000_s1040" type="#_x0000_t202" style="position:absolute;margin-left:89.15pt;margin-top:16.05pt;width:86.95pt;height:25.15pt;z-index:-15934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" filled="f" stroked="f">
              <v:path arrowok="t"/>
              <v:textbox inset="0,0,0,0">
                <w:txbxContent>
                  <w:p w:rsidR="00143FDB" w:rsidRDefault="006A44E3">
                    <w:pPr>
                      <w:spacing w:before="10"/>
                      <w:ind w:left="305"/>
                      <w:rPr>
                        <w:b/>
                        <w:sz w:val="24"/>
                      </w:rPr>
                    </w:pPr>
                    <w:r>
                      <w:rPr>
                        <w:b/>
                        <w:w w:val="90"/>
                        <w:sz w:val="24"/>
                      </w:rPr>
                      <w:t>Pena</w:t>
                    </w:r>
                    <w:r>
                      <w:rPr>
                        <w:b/>
                        <w:spacing w:val="29"/>
                        <w:sz w:val="24"/>
                      </w:rPr>
                      <w:t xml:space="preserve"> </w:t>
                    </w:r>
                    <w:r>
                      <w:rPr>
                        <w:b/>
                        <w:spacing w:val="-2"/>
                        <w:w w:val="95"/>
                        <w:sz w:val="24"/>
                      </w:rPr>
                      <w:t>Justisia:</w:t>
                    </w:r>
                  </w:p>
                  <w:p w:rsidR="00143FDB" w:rsidRDefault="006A44E3">
                    <w:pPr>
                      <w:spacing w:before="12"/>
                      <w:ind w:left="20"/>
                      <w:rPr>
                        <w:b/>
                        <w:sz w:val="16"/>
                      </w:rPr>
                    </w:pPr>
                    <w:r>
                      <w:rPr>
                        <w:b/>
                        <w:sz w:val="16"/>
                      </w:rPr>
                      <w:t>Vol.</w:t>
                    </w:r>
                    <w:r>
                      <w:rPr>
                        <w:b/>
                        <w:spacing w:val="-8"/>
                        <w:sz w:val="16"/>
                      </w:rPr>
                      <w:t xml:space="preserve"> </w:t>
                    </w:r>
                    <w:r>
                      <w:rPr>
                        <w:b/>
                        <w:sz w:val="16"/>
                      </w:rPr>
                      <w:t>24,</w:t>
                    </w:r>
                    <w:r>
                      <w:rPr>
                        <w:b/>
                        <w:spacing w:val="-4"/>
                        <w:sz w:val="16"/>
                      </w:rPr>
                      <w:t xml:space="preserve"> </w:t>
                    </w:r>
                    <w:r>
                      <w:rPr>
                        <w:b/>
                        <w:sz w:val="16"/>
                      </w:rPr>
                      <w:t>No.</w:t>
                    </w:r>
                    <w:r>
                      <w:rPr>
                        <w:b/>
                        <w:spacing w:val="-3"/>
                        <w:sz w:val="16"/>
                      </w:rPr>
                      <w:t xml:space="preserve"> </w:t>
                    </w:r>
                    <w:r w:rsidR="002B044E">
                      <w:rPr>
                        <w:b/>
                        <w:spacing w:val="-3"/>
                        <w:sz w:val="16"/>
                      </w:rPr>
                      <w:t>1</w:t>
                    </w:r>
                    <w:r>
                      <w:rPr>
                        <w:b/>
                        <w:sz w:val="16"/>
                      </w:rPr>
                      <w:t>,</w:t>
                    </w:r>
                    <w:r>
                      <w:rPr>
                        <w:b/>
                        <w:spacing w:val="-3"/>
                        <w:sz w:val="16"/>
                      </w:rPr>
                      <w:t xml:space="preserve"> </w:t>
                    </w:r>
                    <w:r>
                      <w:rPr>
                        <w:b/>
                        <w:sz w:val="16"/>
                      </w:rPr>
                      <w:t>June,</w:t>
                    </w:r>
                    <w:r>
                      <w:rPr>
                        <w:b/>
                        <w:spacing w:val="-18"/>
                        <w:sz w:val="16"/>
                      </w:rPr>
                      <w:t xml:space="preserve"> </w:t>
                    </w:r>
                    <w:r>
                      <w:rPr>
                        <w:b/>
                        <w:spacing w:val="-4"/>
                        <w:sz w:val="16"/>
                      </w:rPr>
                      <w:t>2025</w:t>
                    </w:r>
                  </w:p>
                </w:txbxContent>
              </v:textbox>
              <w10:wrap anchorx="page" anchory="page"/>
            </v:shape>
          </w:pict>
        </mc:Fallback>
      </mc:AlternateContent>
    </w:r>
    <w:r>
      <w:rPr>
        <w:noProof/>
        <w:sz w:val="20"/>
      </w:rPr>
      <mc:AlternateContent>
        <mc:Choice Requires="wps">
          <w:drawing>
            <wp:anchor distT="0" distB="0" distL="0" distR="0" simplePos="0" relativeHeight="487382528" behindDoc="1" locked="0" layoutInCell="1" allowOverlap="1">
              <wp:simplePos x="0" y="0"/>
              <wp:positionH relativeFrom="page">
                <wp:posOffset>2572639</wp:posOffset>
              </wp:positionH>
              <wp:positionV relativeFrom="page">
                <wp:posOffset>360073</wp:posOffset>
              </wp:positionV>
              <wp:extent cx="3710304" cy="158750"/>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10304" cy="158750"/>
                      </a:xfrm>
                      <a:prstGeom prst="rect">
                        <a:avLst/>
                      </a:prstGeom>
                    </wps:spPr>
                    <wps:txbx>
                      <w:txbxContent>
                        <w:p w:rsidR="00143FDB" w:rsidRDefault="006A44E3">
                          <w:pPr>
                            <w:spacing w:before="11"/>
                            <w:ind w:left="20"/>
                            <w:rPr>
                              <w:b/>
                              <w:sz w:val="19"/>
                            </w:rPr>
                          </w:pPr>
                          <w:r>
                            <w:rPr>
                              <w:b/>
                              <w:color w:val="769239"/>
                              <w:sz w:val="19"/>
                            </w:rPr>
                            <w:t>[</w:t>
                          </w:r>
                          <w:r>
                            <w:rPr>
                              <w:b/>
                              <w:sz w:val="19"/>
                            </w:rPr>
                            <w:t>PENA</w:t>
                          </w:r>
                          <w:r>
                            <w:rPr>
                              <w:b/>
                              <w:spacing w:val="-4"/>
                              <w:sz w:val="19"/>
                            </w:rPr>
                            <w:t xml:space="preserve"> </w:t>
                          </w:r>
                          <w:r>
                            <w:rPr>
                              <w:b/>
                              <w:sz w:val="19"/>
                            </w:rPr>
                            <w:t>JUSTISIA:</w:t>
                          </w:r>
                          <w:r>
                            <w:rPr>
                              <w:b/>
                              <w:spacing w:val="19"/>
                              <w:sz w:val="19"/>
                            </w:rPr>
                            <w:t xml:space="preserve"> </w:t>
                          </w:r>
                          <w:r>
                            <w:rPr>
                              <w:b/>
                              <w:sz w:val="19"/>
                            </w:rPr>
                            <w:t>MEDIA</w:t>
                          </w:r>
                          <w:r>
                            <w:rPr>
                              <w:b/>
                              <w:spacing w:val="24"/>
                              <w:sz w:val="19"/>
                            </w:rPr>
                            <w:t xml:space="preserve"> </w:t>
                          </w:r>
                          <w:r>
                            <w:rPr>
                              <w:b/>
                              <w:sz w:val="19"/>
                            </w:rPr>
                            <w:t>KOMUNIKAS</w:t>
                          </w:r>
                          <w:r>
                            <w:rPr>
                              <w:b/>
                              <w:spacing w:val="-21"/>
                              <w:sz w:val="19"/>
                            </w:rPr>
                            <w:t xml:space="preserve"> </w:t>
                          </w:r>
                          <w:r>
                            <w:rPr>
                              <w:b/>
                              <w:sz w:val="19"/>
                            </w:rPr>
                            <w:t>I</w:t>
                          </w:r>
                          <w:r>
                            <w:rPr>
                              <w:b/>
                              <w:spacing w:val="11"/>
                              <w:sz w:val="19"/>
                            </w:rPr>
                            <w:t xml:space="preserve"> </w:t>
                          </w:r>
                          <w:r>
                            <w:rPr>
                              <w:b/>
                              <w:sz w:val="19"/>
                            </w:rPr>
                            <w:t>DAN</w:t>
                          </w:r>
                          <w:r>
                            <w:rPr>
                              <w:b/>
                              <w:spacing w:val="-3"/>
                              <w:sz w:val="19"/>
                            </w:rPr>
                            <w:t xml:space="preserve"> </w:t>
                          </w:r>
                          <w:r>
                            <w:rPr>
                              <w:b/>
                              <w:sz w:val="19"/>
                            </w:rPr>
                            <w:t>KAJIAN</w:t>
                          </w:r>
                          <w:r>
                            <w:rPr>
                              <w:b/>
                              <w:spacing w:val="7"/>
                              <w:sz w:val="19"/>
                            </w:rPr>
                            <w:t xml:space="preserve"> </w:t>
                          </w:r>
                          <w:r>
                            <w:rPr>
                              <w:b/>
                              <w:spacing w:val="-2"/>
                              <w:sz w:val="19"/>
                            </w:rPr>
                            <w:t>HUKUM</w:t>
                          </w:r>
                          <w:r>
                            <w:rPr>
                              <w:b/>
                              <w:color w:val="769239"/>
                              <w:spacing w:val="-2"/>
                              <w:sz w:val="19"/>
                            </w:rPr>
                            <w:t>]</w:t>
                          </w:r>
                        </w:p>
                      </w:txbxContent>
                    </wps:txbx>
                    <wps:bodyPr wrap="square" lIns="0" tIns="0" rIns="0" bIns="0" rtlCol="0">
                      <a:noAutofit/>
                    </wps:bodyPr>
                  </wps:wsp>
                </a:graphicData>
              </a:graphic>
            </wp:anchor>
          </w:drawing>
        </mc:Choice>
        <mc:Fallback>
          <w:pict>
            <v:shape id="Textbox 36" o:spid="_x0000_s1041" type="#_x0000_t202" style="position:absolute;margin-left:202.55pt;margin-top:28.35pt;width:292.15pt;height:12.5pt;z-index:-15933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" filled="f" stroked="f">
              <v:path arrowok="t"/>
              <v:textbox inset="0,0,0,0">
                <w:txbxContent>
                  <w:p w:rsidR="00143FDB" w:rsidRDefault="006A44E3">
                    <w:pPr>
                      <w:spacing w:before="11"/>
                      <w:ind w:left="20"/>
                      <w:rPr>
                        <w:b/>
                        <w:sz w:val="19"/>
                      </w:rPr>
                    </w:pPr>
                    <w:r>
                      <w:rPr>
                        <w:b/>
                        <w:color w:val="769239"/>
                        <w:sz w:val="19"/>
                      </w:rPr>
                      <w:t>[</w:t>
                    </w:r>
                    <w:r>
                      <w:rPr>
                        <w:b/>
                        <w:sz w:val="19"/>
                      </w:rPr>
                      <w:t>PENA</w:t>
                    </w:r>
                    <w:r>
                      <w:rPr>
                        <w:b/>
                        <w:spacing w:val="-4"/>
                        <w:sz w:val="19"/>
                      </w:rPr>
                      <w:t xml:space="preserve"> </w:t>
                    </w:r>
                    <w:r>
                      <w:rPr>
                        <w:b/>
                        <w:sz w:val="19"/>
                      </w:rPr>
                      <w:t>JUSTISIA:</w:t>
                    </w:r>
                    <w:r>
                      <w:rPr>
                        <w:b/>
                        <w:spacing w:val="19"/>
                        <w:sz w:val="19"/>
                      </w:rPr>
                      <w:t xml:space="preserve"> </w:t>
                    </w:r>
                    <w:r>
                      <w:rPr>
                        <w:b/>
                        <w:sz w:val="19"/>
                      </w:rPr>
                      <w:t>MEDIA</w:t>
                    </w:r>
                    <w:r>
                      <w:rPr>
                        <w:b/>
                        <w:spacing w:val="24"/>
                        <w:sz w:val="19"/>
                      </w:rPr>
                      <w:t xml:space="preserve"> </w:t>
                    </w:r>
                    <w:r>
                      <w:rPr>
                        <w:b/>
                        <w:sz w:val="19"/>
                      </w:rPr>
                      <w:t>KOMUNIKAS</w:t>
                    </w:r>
                    <w:r>
                      <w:rPr>
                        <w:b/>
                        <w:spacing w:val="-21"/>
                        <w:sz w:val="19"/>
                      </w:rPr>
                      <w:t xml:space="preserve"> </w:t>
                    </w:r>
                    <w:r>
                      <w:rPr>
                        <w:b/>
                        <w:sz w:val="19"/>
                      </w:rPr>
                      <w:t>I</w:t>
                    </w:r>
                    <w:r>
                      <w:rPr>
                        <w:b/>
                        <w:spacing w:val="11"/>
                        <w:sz w:val="19"/>
                      </w:rPr>
                      <w:t xml:space="preserve"> </w:t>
                    </w:r>
                    <w:r>
                      <w:rPr>
                        <w:b/>
                        <w:sz w:val="19"/>
                      </w:rPr>
                      <w:t>DAN</w:t>
                    </w:r>
                    <w:r>
                      <w:rPr>
                        <w:b/>
                        <w:spacing w:val="-3"/>
                        <w:sz w:val="19"/>
                      </w:rPr>
                      <w:t xml:space="preserve"> </w:t>
                    </w:r>
                    <w:r>
                      <w:rPr>
                        <w:b/>
                        <w:sz w:val="19"/>
                      </w:rPr>
                      <w:t>KAJIAN</w:t>
                    </w:r>
                    <w:r>
                      <w:rPr>
                        <w:b/>
                        <w:spacing w:val="7"/>
                        <w:sz w:val="19"/>
                      </w:rPr>
                      <w:t xml:space="preserve"> </w:t>
                    </w:r>
                    <w:r>
                      <w:rPr>
                        <w:b/>
                        <w:spacing w:val="-2"/>
                        <w:sz w:val="19"/>
                      </w:rPr>
                      <w:t>HUKUM</w:t>
                    </w:r>
                    <w:r>
                      <w:rPr>
                        <w:b/>
                        <w:color w:val="769239"/>
                        <w:spacing w:val="-2"/>
                        <w:sz w:val="19"/>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7C0BA4"/>
    <w:multiLevelType w:val="multilevel"/>
    <w:tmpl w:val="47D06B8E"/>
    <w:lvl w:ilvl="0">
      <w:start w:val="1"/>
      <w:numFmt w:val="decimal"/>
      <w:lvlText w:val="%1"/>
      <w:lvlJc w:val="left"/>
      <w:pPr>
        <w:ind w:left="833" w:hanging="720"/>
        <w:jc w:val="left"/>
      </w:pPr>
      <w:rPr>
        <w:rFonts w:hint="default"/>
        <w:lang w:val="en-US" w:eastAsia="en-US" w:bidi="ar-SA"/>
      </w:rPr>
    </w:lvl>
    <w:lvl w:ilvl="1">
      <w:start w:val="1"/>
      <w:numFmt w:val="decimal"/>
      <w:lvlText w:val="%1.%2"/>
      <w:lvlJc w:val="left"/>
      <w:pPr>
        <w:ind w:left="833" w:hanging="720"/>
        <w:jc w:val="left"/>
      </w:pPr>
      <w:rPr>
        <w:rFonts w:hint="default"/>
        <w:spacing w:val="0"/>
        <w:w w:val="100"/>
        <w:lang w:val="en-US" w:eastAsia="en-US" w:bidi="ar-SA"/>
      </w:rPr>
    </w:lvl>
    <w:lvl w:ilvl="2">
      <w:numFmt w:val="bullet"/>
      <w:lvlText w:val="•"/>
      <w:lvlJc w:val="left"/>
      <w:pPr>
        <w:ind w:left="2601" w:hanging="720"/>
      </w:pPr>
      <w:rPr>
        <w:rFonts w:hint="default"/>
        <w:lang w:val="en-US" w:eastAsia="en-US" w:bidi="ar-SA"/>
      </w:rPr>
    </w:lvl>
    <w:lvl w:ilvl="3">
      <w:numFmt w:val="bullet"/>
      <w:lvlText w:val="•"/>
      <w:lvlJc w:val="left"/>
      <w:pPr>
        <w:ind w:left="3481" w:hanging="720"/>
      </w:pPr>
      <w:rPr>
        <w:rFonts w:hint="default"/>
        <w:lang w:val="en-US" w:eastAsia="en-US" w:bidi="ar-SA"/>
      </w:rPr>
    </w:lvl>
    <w:lvl w:ilvl="4">
      <w:numFmt w:val="bullet"/>
      <w:lvlText w:val="•"/>
      <w:lvlJc w:val="left"/>
      <w:pPr>
        <w:ind w:left="4362" w:hanging="720"/>
      </w:pPr>
      <w:rPr>
        <w:rFonts w:hint="default"/>
        <w:lang w:val="en-US" w:eastAsia="en-US" w:bidi="ar-SA"/>
      </w:rPr>
    </w:lvl>
    <w:lvl w:ilvl="5">
      <w:numFmt w:val="bullet"/>
      <w:lvlText w:val="•"/>
      <w:lvlJc w:val="left"/>
      <w:pPr>
        <w:ind w:left="5242" w:hanging="720"/>
      </w:pPr>
      <w:rPr>
        <w:rFonts w:hint="default"/>
        <w:lang w:val="en-US" w:eastAsia="en-US" w:bidi="ar-SA"/>
      </w:rPr>
    </w:lvl>
    <w:lvl w:ilvl="6">
      <w:numFmt w:val="bullet"/>
      <w:lvlText w:val="•"/>
      <w:lvlJc w:val="left"/>
      <w:pPr>
        <w:ind w:left="6123" w:hanging="720"/>
      </w:pPr>
      <w:rPr>
        <w:rFonts w:hint="default"/>
        <w:lang w:val="en-US" w:eastAsia="en-US" w:bidi="ar-SA"/>
      </w:rPr>
    </w:lvl>
    <w:lvl w:ilvl="7">
      <w:numFmt w:val="bullet"/>
      <w:lvlText w:val="•"/>
      <w:lvlJc w:val="left"/>
      <w:pPr>
        <w:ind w:left="7003" w:hanging="720"/>
      </w:pPr>
      <w:rPr>
        <w:rFonts w:hint="default"/>
        <w:lang w:val="en-US" w:eastAsia="en-US" w:bidi="ar-SA"/>
      </w:rPr>
    </w:lvl>
    <w:lvl w:ilvl="8">
      <w:numFmt w:val="bullet"/>
      <w:lvlText w:val="•"/>
      <w:lvlJc w:val="left"/>
      <w:pPr>
        <w:ind w:left="7884"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143FDB"/>
    <w:rsid w:val="00143FDB"/>
    <w:rsid w:val="002B044E"/>
    <w:rsid w:val="006A4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F5953A"/>
  <w15:docId w15:val="{6116EFFC-C4B4-4E32-85EB-F0898BBB0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10"/>
      <w:ind w:left="305"/>
      <w:outlineLvl w:val="0"/>
    </w:pPr>
    <w:rPr>
      <w:b/>
      <w:bCs/>
      <w:sz w:val="24"/>
      <w:szCs w:val="24"/>
    </w:rPr>
  </w:style>
  <w:style w:type="paragraph" w:styleId="Heading2">
    <w:name w:val="heading 2"/>
    <w:basedOn w:val="Normal"/>
    <w:uiPriority w:val="1"/>
    <w:qFormat/>
    <w:pPr>
      <w:ind w:left="113"/>
      <w:outlineLvl w:val="1"/>
    </w:pPr>
    <w:rPr>
      <w:b/>
      <w:bCs/>
    </w:rPr>
  </w:style>
  <w:style w:type="paragraph" w:styleId="Heading3">
    <w:name w:val="heading 3"/>
    <w:basedOn w:val="Normal"/>
    <w:uiPriority w:val="1"/>
    <w:qFormat/>
    <w:pPr>
      <w:ind w:left="456" w:hanging="343"/>
      <w:jc w:val="both"/>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3"/>
      <w:jc w:val="both"/>
    </w:pPr>
  </w:style>
  <w:style w:type="paragraph" w:styleId="Title">
    <w:name w:val="Title"/>
    <w:basedOn w:val="Normal"/>
    <w:uiPriority w:val="1"/>
    <w:qFormat/>
    <w:pPr>
      <w:spacing w:before="109"/>
      <w:ind w:left="150" w:right="115"/>
      <w:jc w:val="center"/>
    </w:pPr>
    <w:rPr>
      <w:b/>
      <w:bCs/>
      <w:sz w:val="28"/>
      <w:szCs w:val="28"/>
    </w:rPr>
  </w:style>
  <w:style w:type="paragraph" w:styleId="ListParagraph">
    <w:name w:val="List Paragraph"/>
    <w:basedOn w:val="Normal"/>
    <w:uiPriority w:val="1"/>
    <w:qFormat/>
    <w:pPr>
      <w:ind w:left="456" w:hanging="343"/>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B044E"/>
    <w:pPr>
      <w:tabs>
        <w:tab w:val="center" w:pos="4680"/>
        <w:tab w:val="right" w:pos="9360"/>
      </w:tabs>
    </w:pPr>
  </w:style>
  <w:style w:type="character" w:customStyle="1" w:styleId="HeaderChar">
    <w:name w:val="Header Char"/>
    <w:basedOn w:val="DefaultParagraphFont"/>
    <w:link w:val="Header"/>
    <w:uiPriority w:val="99"/>
    <w:rsid w:val="002B044E"/>
    <w:rPr>
      <w:rFonts w:ascii="Times New Roman" w:eastAsia="Times New Roman" w:hAnsi="Times New Roman" w:cs="Times New Roman"/>
    </w:rPr>
  </w:style>
  <w:style w:type="paragraph" w:styleId="Footer">
    <w:name w:val="footer"/>
    <w:basedOn w:val="Normal"/>
    <w:link w:val="FooterChar"/>
    <w:uiPriority w:val="99"/>
    <w:unhideWhenUsed/>
    <w:rsid w:val="002B044E"/>
    <w:pPr>
      <w:tabs>
        <w:tab w:val="center" w:pos="4680"/>
        <w:tab w:val="right" w:pos="9360"/>
      </w:tabs>
    </w:pPr>
  </w:style>
  <w:style w:type="character" w:customStyle="1" w:styleId="FooterChar">
    <w:name w:val="Footer Char"/>
    <w:basedOn w:val="DefaultParagraphFont"/>
    <w:link w:val="Footer"/>
    <w:uiPriority w:val="99"/>
    <w:rsid w:val="002B044E"/>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urhansidausu@gmail.com" TargetMode="External"/><Relationship Id="rId12" Type="http://schemas.openxmlformats.org/officeDocument/2006/relationships/footer" Target="footer2.xml"/><Relationship Id="rId17" Type="http://schemas.openxmlformats.org/officeDocument/2006/relationships/hyperlink" Target="http://www.scopus.com/inward/record.uri?eid=2-s2.0-" TargetMode="Externa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8610</Words>
  <Characters>49078</Characters>
  <Application>Microsoft Office Word</Application>
  <DocSecurity>0</DocSecurity>
  <Lines>408</Lines>
  <Paragraphs>115</Paragraphs>
  <ScaleCrop>false</ScaleCrop>
  <Company/>
  <LinksUpToDate>false</LinksUpToDate>
  <CharactersWithSpaces>57573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Jurnal IJCCS</dc:title>
  <dc:creator>UBAY</dc:creator>
  <cp:lastModifiedBy>Nurul Arofah</cp:lastModifiedBy>
  <cp:revision>2</cp:revision>
  <dcterms:created xsi:type="dcterms:W3CDTF">2025-11-04T05:44:00Z</dcterms:created>
  <dcterms:modified xsi:type="dcterms:W3CDTF">2025-11-04T05:45:00Z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2025-07-13T00:00:00Z</vt:filetime>
  </property>
  <property fmtid="{D5CDD505-2E9C-101B-9397-08002B2CF9AE}" pid="3" name="Creator">
    <vt:lpwstr>Microsoft® Word 2016</vt:lpwstr>
  </property>
  <property fmtid="{D5CDD505-2E9C-101B-9397-08002B2CF9AE}" pid="4" name="LastSaved">
    <vt:filetime>2025-11-04T00:00:00Z</vt:filetime>
  </property>
  <property fmtid="{D5CDD505-2E9C-101B-9397-08002B2CF9AE}" pid="5" name="Producer">
    <vt:lpwstr>Microsoft® Word 2016</vt:lpwstr>
  </property>
</Properties>
</file>