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DD1C9" w14:textId="1DF730F9" w:rsidR="00246B01" w:rsidRPr="00DD5C5F" w:rsidRDefault="007F449B" w:rsidP="007F449B">
      <w:pPr>
        <w:pStyle w:val="Heading1"/>
        <w:spacing w:before="0"/>
        <w:ind w:left="0" w:right="3"/>
        <w:rPr>
          <w:rFonts w:ascii="Book Antiqua" w:hAnsi="Book Antiqua" w:cs="Tahoma"/>
          <w:noProof/>
          <w:sz w:val="24"/>
          <w:szCs w:val="24"/>
          <w:lang w:val="en-US"/>
        </w:rPr>
      </w:pPr>
      <w:r w:rsidRPr="00DD5C5F">
        <w:rPr>
          <w:rFonts w:ascii="Book Antiqua" w:hAnsi="Book Antiqua" w:cs="Tahoma"/>
          <w:noProof/>
          <w:sz w:val="24"/>
          <w:szCs w:val="24"/>
          <w:lang w:val="en-US"/>
        </w:rPr>
        <w:t>Degradation of Executorial Rights and Execution Parate Institutions on Fiduciary Security After the Decision of the Konstitution Court Number 18/Puu-Xvii/2019</w:t>
      </w:r>
    </w:p>
    <w:p w14:paraId="1A540853" w14:textId="77777777" w:rsidR="007F449B" w:rsidRPr="00DD5C5F" w:rsidRDefault="007F449B" w:rsidP="007F449B">
      <w:pPr>
        <w:spacing w:after="0" w:line="240" w:lineRule="auto"/>
        <w:jc w:val="center"/>
        <w:rPr>
          <w:rFonts w:ascii="Book Antiqua" w:hAnsi="Book Antiqua" w:cs="Tahoma"/>
          <w:b/>
          <w:sz w:val="24"/>
          <w:szCs w:val="24"/>
        </w:rPr>
      </w:pPr>
    </w:p>
    <w:p w14:paraId="665387B7" w14:textId="3E1E6A63" w:rsidR="007F449B" w:rsidRPr="00DD5C5F" w:rsidRDefault="00CA1D3C" w:rsidP="007F449B">
      <w:pPr>
        <w:spacing w:after="0" w:line="240" w:lineRule="auto"/>
        <w:jc w:val="center"/>
        <w:rPr>
          <w:rFonts w:ascii="Book Antiqua" w:hAnsi="Book Antiqua" w:cs="Tahoma"/>
          <w:b/>
          <w:sz w:val="24"/>
          <w:szCs w:val="24"/>
        </w:rPr>
      </w:pPr>
      <w:r w:rsidRPr="00DD5C5F">
        <w:rPr>
          <w:rFonts w:ascii="Book Antiqua" w:hAnsi="Book Antiqua" w:cs="Tahoma"/>
          <w:b/>
          <w:sz w:val="24"/>
          <w:szCs w:val="24"/>
        </w:rPr>
        <w:t xml:space="preserve">Yeni </w:t>
      </w:r>
      <w:r w:rsidR="00246B01" w:rsidRPr="00DD5C5F">
        <w:rPr>
          <w:rFonts w:ascii="Book Antiqua" w:hAnsi="Book Antiqua" w:cs="Tahoma"/>
          <w:b/>
          <w:sz w:val="24"/>
          <w:szCs w:val="24"/>
        </w:rPr>
        <w:t>Triana</w:t>
      </w:r>
      <w:r w:rsidR="007F449B" w:rsidRPr="00DD5C5F">
        <w:rPr>
          <w:rFonts w:ascii="Book Antiqua" w:hAnsi="Book Antiqua" w:cs="Tahoma"/>
          <w:b/>
          <w:sz w:val="24"/>
          <w:szCs w:val="24"/>
          <w:vertAlign w:val="superscript"/>
        </w:rPr>
        <w:t>1</w:t>
      </w:r>
      <w:r w:rsidR="007F449B" w:rsidRPr="00DD5C5F">
        <w:rPr>
          <w:rFonts w:ascii="Book Antiqua" w:hAnsi="Book Antiqua" w:cs="Tahoma"/>
          <w:b/>
          <w:sz w:val="24"/>
          <w:szCs w:val="24"/>
        </w:rPr>
        <w:t>, Yelia Nathassa Winstar</w:t>
      </w:r>
      <w:r w:rsidR="007F449B" w:rsidRPr="00DD5C5F">
        <w:rPr>
          <w:rFonts w:ascii="Book Antiqua" w:hAnsi="Book Antiqua" w:cs="Tahoma"/>
          <w:b/>
          <w:sz w:val="24"/>
          <w:szCs w:val="24"/>
          <w:vertAlign w:val="superscript"/>
        </w:rPr>
        <w:t>2</w:t>
      </w:r>
    </w:p>
    <w:p w14:paraId="28CC1817" w14:textId="4A5A9DA1" w:rsidR="009E466B" w:rsidRPr="00DD5C5F" w:rsidRDefault="009E466B" w:rsidP="007F449B">
      <w:pPr>
        <w:spacing w:after="0" w:line="240" w:lineRule="auto"/>
        <w:jc w:val="center"/>
        <w:rPr>
          <w:rFonts w:ascii="Book Antiqua" w:hAnsi="Book Antiqua" w:cs="Tahoma"/>
          <w:b/>
          <w:bCs/>
          <w:sz w:val="24"/>
          <w:szCs w:val="24"/>
        </w:rPr>
      </w:pPr>
      <w:r w:rsidRPr="00DD5C5F">
        <w:rPr>
          <w:rFonts w:ascii="Book Antiqua" w:hAnsi="Book Antiqua" w:cs="Tahoma"/>
          <w:sz w:val="24"/>
          <w:szCs w:val="24"/>
        </w:rPr>
        <w:t>Lan</w:t>
      </w:r>
      <w:r w:rsidR="00DD5C5F" w:rsidRPr="00DD5C5F">
        <w:rPr>
          <w:rFonts w:ascii="Book Antiqua" w:hAnsi="Book Antiqua" w:cs="Tahoma"/>
          <w:sz w:val="24"/>
          <w:szCs w:val="24"/>
        </w:rPr>
        <w:t>cang Kuning University, Jalan Yos S</w:t>
      </w:r>
      <w:r w:rsidRPr="00DD5C5F">
        <w:rPr>
          <w:rFonts w:ascii="Book Antiqua" w:hAnsi="Book Antiqua" w:cs="Tahoma"/>
          <w:sz w:val="24"/>
          <w:szCs w:val="24"/>
        </w:rPr>
        <w:t>udarso Km.8, Pekanbaru, Indonesia</w:t>
      </w:r>
    </w:p>
    <w:p w14:paraId="6BCE7AD2" w14:textId="47AC96E4" w:rsidR="00CA1D3C" w:rsidRPr="007F449B" w:rsidRDefault="00D40EBB" w:rsidP="007F449B">
      <w:pPr>
        <w:spacing w:line="240" w:lineRule="auto"/>
        <w:jc w:val="center"/>
        <w:rPr>
          <w:rFonts w:ascii="Palatino Linotype" w:hAnsi="Palatino Linotype" w:cs="Tahoma"/>
          <w:bCs/>
          <w:sz w:val="24"/>
          <w:szCs w:val="24"/>
        </w:rPr>
      </w:pPr>
      <w:r>
        <w:rPr>
          <w:rFonts w:ascii="Palatino Linotype" w:hAnsi="Palatino Linotype" w:cs="Tahoma"/>
          <w:bCs/>
          <w:sz w:val="24"/>
          <w:szCs w:val="24"/>
        </w:rPr>
        <w:t>yeni.triana@unilak.ac.id, ynwinstar@unilak.ac.id</w:t>
      </w:r>
      <w:bookmarkStart w:id="0" w:name="_GoBack"/>
      <w:bookmarkEnd w:id="0"/>
    </w:p>
    <w:p w14:paraId="7810F169" w14:textId="77777777" w:rsidR="00246B01" w:rsidRPr="00DD5C5F" w:rsidRDefault="00246B01" w:rsidP="007F449B">
      <w:pPr>
        <w:spacing w:line="240" w:lineRule="auto"/>
        <w:jc w:val="center"/>
        <w:rPr>
          <w:rFonts w:ascii="Book Antiqua" w:hAnsi="Book Antiqua" w:cs="Tahoma"/>
          <w:b/>
          <w:i/>
          <w:sz w:val="24"/>
          <w:szCs w:val="24"/>
        </w:rPr>
      </w:pPr>
      <w:r w:rsidRPr="00DD5C5F">
        <w:rPr>
          <w:rFonts w:ascii="Book Antiqua" w:hAnsi="Book Antiqua" w:cs="Tahoma"/>
          <w:b/>
          <w:i/>
          <w:sz w:val="24"/>
          <w:szCs w:val="24"/>
        </w:rPr>
        <w:t>Abstract</w:t>
      </w:r>
    </w:p>
    <w:p w14:paraId="3D0A539D" w14:textId="77777777" w:rsidR="009B5708" w:rsidRPr="00DD5C5F" w:rsidRDefault="009B5708" w:rsidP="00DD5C5F">
      <w:pPr>
        <w:spacing w:line="240" w:lineRule="auto"/>
        <w:jc w:val="both"/>
        <w:rPr>
          <w:rFonts w:ascii="Book Antiqua" w:hAnsi="Book Antiqua" w:cs="Tahoma"/>
          <w:i/>
          <w:sz w:val="20"/>
          <w:szCs w:val="20"/>
        </w:rPr>
      </w:pPr>
      <w:r w:rsidRPr="00DD5C5F">
        <w:rPr>
          <w:rFonts w:ascii="Book Antiqua" w:hAnsi="Book Antiqua" w:cs="Tahoma"/>
          <w:i/>
          <w:sz w:val="20"/>
          <w:szCs w:val="20"/>
        </w:rPr>
        <w:t xml:space="preserve">Constitutional </w:t>
      </w:r>
      <w:r w:rsidR="00461AE3" w:rsidRPr="00DD5C5F">
        <w:rPr>
          <w:rFonts w:ascii="Book Antiqua" w:hAnsi="Book Antiqua" w:cs="Tahoma"/>
          <w:i/>
          <w:sz w:val="20"/>
          <w:szCs w:val="20"/>
        </w:rPr>
        <w:t xml:space="preserve">Court decision Number 18/PUU-XVII/2019 </w:t>
      </w:r>
      <w:r w:rsidRPr="00DD5C5F">
        <w:rPr>
          <w:rFonts w:ascii="Book Antiqua" w:hAnsi="Book Antiqua" w:cs="Tahoma"/>
          <w:i/>
          <w:sz w:val="20"/>
          <w:szCs w:val="20"/>
        </w:rPr>
        <w:t xml:space="preserve">degrades the existence of executorial rights and execution parate institutions </w:t>
      </w:r>
      <w:r w:rsidR="00747A22" w:rsidRPr="00DD5C5F">
        <w:rPr>
          <w:rFonts w:ascii="Book Antiqua" w:hAnsi="Book Antiqua" w:cs="Tahoma"/>
          <w:i/>
          <w:sz w:val="20"/>
          <w:szCs w:val="20"/>
        </w:rPr>
        <w:t>in the UUJF</w:t>
      </w:r>
      <w:r w:rsidRPr="00DD5C5F">
        <w:rPr>
          <w:rFonts w:ascii="Book Antiqua" w:hAnsi="Book Antiqua" w:cs="Tahoma"/>
          <w:i/>
          <w:sz w:val="20"/>
          <w:szCs w:val="20"/>
        </w:rPr>
        <w:t xml:space="preserve">. </w:t>
      </w:r>
      <w:r w:rsidR="005C0B8F" w:rsidRPr="00DD5C5F">
        <w:rPr>
          <w:rFonts w:ascii="Book Antiqua" w:hAnsi="Book Antiqua" w:cs="Tahoma"/>
          <w:i/>
          <w:sz w:val="20"/>
          <w:szCs w:val="20"/>
        </w:rPr>
        <w:t>M</w:t>
      </w:r>
      <w:r w:rsidR="00401366" w:rsidRPr="00DD5C5F">
        <w:rPr>
          <w:rFonts w:ascii="Book Antiqua" w:hAnsi="Book Antiqua" w:cs="Tahoma"/>
          <w:i/>
          <w:sz w:val="20"/>
          <w:szCs w:val="20"/>
        </w:rPr>
        <w:t>elements of the substance of the law in ran</w:t>
      </w:r>
      <w:r w:rsidR="005C0B8F" w:rsidRPr="00DD5C5F">
        <w:rPr>
          <w:rFonts w:ascii="Book Antiqua" w:hAnsi="Book Antiqua" w:cs="Tahoma"/>
          <w:i/>
          <w:sz w:val="20"/>
          <w:szCs w:val="20"/>
        </w:rPr>
        <w:t>gka this</w:t>
      </w:r>
      <w:r w:rsidR="00401366" w:rsidRPr="00DD5C5F">
        <w:rPr>
          <w:rFonts w:ascii="Book Antiqua" w:hAnsi="Book Antiqua" w:cs="Tahoma"/>
          <w:i/>
          <w:sz w:val="20"/>
          <w:szCs w:val="20"/>
        </w:rPr>
        <w:t xml:space="preserve"> execution resulted in the purpose of the law can not be met. </w:t>
      </w:r>
      <w:r w:rsidR="00461AE3" w:rsidRPr="00DD5C5F">
        <w:rPr>
          <w:rFonts w:ascii="Book Antiqua" w:hAnsi="Book Antiqua" w:cs="Tahoma"/>
          <w:i/>
          <w:sz w:val="20"/>
          <w:szCs w:val="20"/>
        </w:rPr>
        <w:t>Pene</w:t>
      </w:r>
      <w:r w:rsidR="00D333D5" w:rsidRPr="00DD5C5F">
        <w:rPr>
          <w:rFonts w:ascii="Book Antiqua" w:hAnsi="Book Antiqua" w:cs="Tahoma"/>
          <w:i/>
          <w:sz w:val="20"/>
          <w:szCs w:val="20"/>
        </w:rPr>
        <w:t xml:space="preserve">This research is a normative juridical research that will </w:t>
      </w:r>
      <w:r w:rsidR="00461AE3" w:rsidRPr="00DD5C5F">
        <w:rPr>
          <w:rFonts w:ascii="Book Antiqua" w:hAnsi="Book Antiqua" w:cs="Tahoma"/>
          <w:i/>
          <w:sz w:val="20"/>
          <w:szCs w:val="20"/>
        </w:rPr>
        <w:t xml:space="preserve">answer several questions. First, what </w:t>
      </w:r>
      <w:r w:rsidR="00F759F2" w:rsidRPr="00DD5C5F">
        <w:rPr>
          <w:rFonts w:ascii="Book Antiqua" w:hAnsi="Book Antiqua" w:cs="Tahoma"/>
          <w:i/>
          <w:sz w:val="20"/>
          <w:szCs w:val="20"/>
        </w:rPr>
        <w:t>is the essence of</w:t>
      </w:r>
      <w:r w:rsidR="00461AE3" w:rsidRPr="00DD5C5F">
        <w:rPr>
          <w:rFonts w:ascii="Book Antiqua" w:hAnsi="Book Antiqua" w:cs="Tahoma"/>
          <w:i/>
          <w:sz w:val="20"/>
          <w:szCs w:val="20"/>
        </w:rPr>
        <w:t xml:space="preserve"> the position of ek</w:t>
      </w:r>
      <w:r w:rsidR="005C0B8F" w:rsidRPr="00DD5C5F">
        <w:rPr>
          <w:rFonts w:ascii="Book Antiqua" w:hAnsi="Book Antiqua" w:cs="Tahoma"/>
          <w:i/>
          <w:sz w:val="20"/>
          <w:szCs w:val="20"/>
        </w:rPr>
        <w:t xml:space="preserve">sekutorial rights, execution parate, </w:t>
      </w:r>
      <w:r w:rsidR="00461AE3" w:rsidRPr="00DD5C5F">
        <w:rPr>
          <w:rFonts w:ascii="Book Antiqua" w:hAnsi="Book Antiqua" w:cs="Tahoma"/>
          <w:i/>
          <w:sz w:val="20"/>
          <w:szCs w:val="20"/>
        </w:rPr>
        <w:t>promise injury clause</w:t>
      </w:r>
      <w:r w:rsidR="005C0B8F" w:rsidRPr="00DD5C5F">
        <w:rPr>
          <w:rFonts w:ascii="Book Antiqua" w:hAnsi="Book Antiqua" w:cs="Tahoma"/>
          <w:i/>
          <w:sz w:val="20"/>
          <w:szCs w:val="20"/>
        </w:rPr>
        <w:t xml:space="preserve"> </w:t>
      </w:r>
      <w:r w:rsidR="00461AE3" w:rsidRPr="00DD5C5F">
        <w:rPr>
          <w:rFonts w:ascii="Book Antiqua" w:hAnsi="Book Antiqua" w:cs="Tahoma"/>
          <w:i/>
          <w:sz w:val="20"/>
          <w:szCs w:val="20"/>
        </w:rPr>
        <w:t xml:space="preserve">in fiduciary security rules. Second, how the juridical analysis of the Constitutional </w:t>
      </w:r>
      <w:r w:rsidR="005C0B8F" w:rsidRPr="00DD5C5F">
        <w:rPr>
          <w:rFonts w:ascii="Book Antiqua" w:hAnsi="Book Antiqua" w:cs="Tahoma"/>
          <w:i/>
          <w:sz w:val="20"/>
          <w:szCs w:val="20"/>
        </w:rPr>
        <w:t>konstitusi tersebut</w:t>
      </w:r>
      <w:r w:rsidR="00093509" w:rsidRPr="00DD5C5F">
        <w:rPr>
          <w:rFonts w:ascii="Book Antiqua" w:hAnsi="Book Antiqua" w:cs="Tahoma"/>
          <w:i/>
          <w:sz w:val="20"/>
          <w:szCs w:val="20"/>
        </w:rPr>
        <w:t xml:space="preserve">Court decision. </w:t>
      </w:r>
      <w:r w:rsidR="00461AE3" w:rsidRPr="00DD5C5F">
        <w:rPr>
          <w:rFonts w:ascii="Book Antiqua" w:hAnsi="Book Antiqua" w:cs="Tahoma"/>
          <w:i/>
          <w:noProof/>
          <w:sz w:val="20"/>
          <w:szCs w:val="20"/>
        </w:rPr>
        <w:t>This study</w:t>
      </w:r>
      <w:r w:rsidR="00093509" w:rsidRPr="00DD5C5F">
        <w:rPr>
          <w:rFonts w:ascii="Book Antiqua" w:hAnsi="Book Antiqua" w:cs="Tahoma"/>
          <w:i/>
          <w:noProof/>
          <w:sz w:val="20"/>
          <w:szCs w:val="20"/>
        </w:rPr>
        <w:t xml:space="preserve"> </w:t>
      </w:r>
      <w:r w:rsidR="00393D50" w:rsidRPr="00DD5C5F">
        <w:rPr>
          <w:rFonts w:ascii="Book Antiqua" w:hAnsi="Book Antiqua" w:cs="Tahoma"/>
          <w:i/>
          <w:noProof/>
          <w:sz w:val="20"/>
          <w:szCs w:val="20"/>
        </w:rPr>
        <w:t>produced</w:t>
      </w:r>
      <w:r w:rsidR="00093509" w:rsidRPr="00DD5C5F">
        <w:rPr>
          <w:rFonts w:ascii="Book Antiqua" w:hAnsi="Book Antiqua" w:cs="Tahoma"/>
          <w:i/>
          <w:noProof/>
          <w:sz w:val="20"/>
          <w:szCs w:val="20"/>
        </w:rPr>
        <w:t xml:space="preserve"> several results</w:t>
      </w:r>
      <w:r w:rsidR="00ED4A88" w:rsidRPr="00DD5C5F">
        <w:rPr>
          <w:rFonts w:ascii="Book Antiqua" w:hAnsi="Book Antiqua" w:cs="Tahoma"/>
          <w:i/>
          <w:noProof/>
          <w:sz w:val="20"/>
          <w:szCs w:val="20"/>
        </w:rPr>
        <w:t>, first</w:t>
      </w:r>
      <w:r w:rsidR="00461AE3" w:rsidRPr="00DD5C5F">
        <w:rPr>
          <w:rFonts w:ascii="Book Antiqua" w:hAnsi="Book Antiqua" w:cs="Tahoma"/>
          <w:i/>
          <w:noProof/>
          <w:sz w:val="20"/>
          <w:szCs w:val="20"/>
        </w:rPr>
        <w:t xml:space="preserve"> the decision of the Constitutional </w:t>
      </w:r>
      <w:r w:rsidR="00B0744E" w:rsidRPr="00DD5C5F">
        <w:rPr>
          <w:rFonts w:ascii="Book Antiqua" w:hAnsi="Book Antiqua" w:cs="Tahoma"/>
          <w:i/>
          <w:noProof/>
          <w:sz w:val="20"/>
          <w:szCs w:val="20"/>
        </w:rPr>
        <w:t xml:space="preserve">Court contradicts the </w:t>
      </w:r>
      <w:r w:rsidR="00792993" w:rsidRPr="00DD5C5F">
        <w:rPr>
          <w:rFonts w:ascii="Book Antiqua" w:hAnsi="Book Antiqua" w:cs="Tahoma"/>
          <w:i/>
          <w:noProof/>
          <w:sz w:val="20"/>
          <w:szCs w:val="20"/>
        </w:rPr>
        <w:t>essence</w:t>
      </w:r>
      <w:r w:rsidR="00B0744E" w:rsidRPr="00DD5C5F">
        <w:rPr>
          <w:rFonts w:ascii="Book Antiqua" w:hAnsi="Book Antiqua" w:cs="Tahoma"/>
          <w:i/>
          <w:noProof/>
          <w:sz w:val="20"/>
          <w:szCs w:val="20"/>
        </w:rPr>
        <w:t xml:space="preserve"> of the existence of executorial rights and the institution of Parate execution. executorial rights and execution parate institutions arise from the existence of special guarantees granted privileges through executorial rights institutions and execution parate institutions.</w:t>
      </w:r>
      <w:r w:rsidR="00ED4A88" w:rsidRPr="00DD5C5F">
        <w:rPr>
          <w:rFonts w:ascii="Book Antiqua" w:hAnsi="Book Antiqua" w:cs="Tahoma"/>
          <w:i/>
          <w:noProof/>
          <w:sz w:val="20"/>
          <w:szCs w:val="20"/>
        </w:rPr>
        <w:t xml:space="preserve"> </w:t>
      </w:r>
      <w:r w:rsidR="00393D50" w:rsidRPr="00DD5C5F">
        <w:rPr>
          <w:rFonts w:ascii="Book Antiqua" w:hAnsi="Book Antiqua" w:cs="Tahoma"/>
          <w:i/>
          <w:noProof/>
          <w:sz w:val="20"/>
          <w:szCs w:val="20"/>
        </w:rPr>
        <w:t>The article</w:t>
      </w:r>
      <w:r w:rsidR="00E274E7" w:rsidRPr="00DD5C5F">
        <w:rPr>
          <w:rFonts w:ascii="Book Antiqua" w:hAnsi="Book Antiqua" w:cs="Tahoma"/>
          <w:i/>
          <w:noProof/>
          <w:sz w:val="20"/>
          <w:szCs w:val="20"/>
        </w:rPr>
        <w:t xml:space="preserve"> </w:t>
      </w:r>
      <w:r w:rsidR="00B0744E" w:rsidRPr="00DD5C5F">
        <w:rPr>
          <w:rFonts w:ascii="Book Antiqua" w:hAnsi="Book Antiqua" w:cs="Tahoma"/>
          <w:i/>
          <w:sz w:val="20"/>
          <w:szCs w:val="20"/>
        </w:rPr>
        <w:t xml:space="preserve">of promise injury in the main agreement </w:t>
      </w:r>
      <w:r w:rsidR="00ED4A88" w:rsidRPr="00DD5C5F">
        <w:rPr>
          <w:rFonts w:ascii="Book Antiqua" w:hAnsi="Book Antiqua" w:cs="Tahoma"/>
          <w:i/>
          <w:sz w:val="20"/>
          <w:szCs w:val="20"/>
        </w:rPr>
        <w:t xml:space="preserve">essentially </w:t>
      </w:r>
      <w:r w:rsidR="00B0744E" w:rsidRPr="00DD5C5F">
        <w:rPr>
          <w:rFonts w:ascii="Book Antiqua" w:hAnsi="Book Antiqua" w:cs="Tahoma"/>
          <w:i/>
          <w:sz w:val="20"/>
          <w:szCs w:val="20"/>
        </w:rPr>
        <w:t>serves as clause naturalia. The naturalia clause means that although</w:t>
      </w:r>
      <w:r w:rsidR="00747A22" w:rsidRPr="00DD5C5F">
        <w:rPr>
          <w:rFonts w:ascii="Book Antiqua" w:hAnsi="Book Antiqua" w:cs="Tahoma"/>
          <w:i/>
          <w:sz w:val="20"/>
          <w:szCs w:val="20"/>
        </w:rPr>
        <w:t>this clause is not expressly stated, the</w:t>
      </w:r>
      <w:r w:rsidR="00B0744E" w:rsidRPr="00DD5C5F">
        <w:rPr>
          <w:rFonts w:ascii="Book Antiqua" w:hAnsi="Book Antiqua" w:cs="Tahoma"/>
          <w:i/>
          <w:sz w:val="20"/>
          <w:szCs w:val="20"/>
        </w:rPr>
        <w:t xml:space="preserve">injury </w:t>
      </w:r>
      <w:r w:rsidR="00E274E7" w:rsidRPr="00DD5C5F">
        <w:rPr>
          <w:rFonts w:ascii="Book Antiqua" w:hAnsi="Book Antiqua" w:cs="Tahoma"/>
          <w:i/>
          <w:sz w:val="20"/>
          <w:szCs w:val="20"/>
        </w:rPr>
        <w:t xml:space="preserve">clause promises to remain. The nature </w:t>
      </w:r>
      <w:r w:rsidR="00ED4A88" w:rsidRPr="00DD5C5F">
        <w:rPr>
          <w:rFonts w:ascii="Book Antiqua" w:hAnsi="Book Antiqua" w:cs="Tahoma"/>
          <w:i/>
          <w:sz w:val="20"/>
          <w:szCs w:val="20"/>
        </w:rPr>
        <w:t>pelaksanaan</w:t>
      </w:r>
      <w:r w:rsidR="00E274E7" w:rsidRPr="00DD5C5F">
        <w:rPr>
          <w:rFonts w:ascii="Book Antiqua" w:hAnsi="Book Antiqua" w:cs="Tahoma"/>
          <w:i/>
          <w:sz w:val="20"/>
          <w:szCs w:val="20"/>
        </w:rPr>
        <w:t xml:space="preserve">of execution </w:t>
      </w:r>
      <w:r w:rsidR="005C0B8F" w:rsidRPr="00DD5C5F">
        <w:rPr>
          <w:rFonts w:ascii="Book Antiqua" w:hAnsi="Book Antiqua" w:cs="Tahoma"/>
          <w:i/>
          <w:sz w:val="20"/>
          <w:szCs w:val="20"/>
        </w:rPr>
        <w:t>is because</w:t>
      </w:r>
      <w:r w:rsidR="00E274E7" w:rsidRPr="00DD5C5F">
        <w:rPr>
          <w:rFonts w:ascii="Book Antiqua" w:hAnsi="Book Antiqua" w:cs="Tahoma"/>
          <w:i/>
          <w:sz w:val="20"/>
          <w:szCs w:val="20"/>
        </w:rPr>
        <w:t xml:space="preserve"> there </w:t>
      </w:r>
      <w:r w:rsidR="00ED4A88" w:rsidRPr="00DD5C5F">
        <w:rPr>
          <w:rFonts w:ascii="Book Antiqua" w:hAnsi="Book Antiqua" w:cs="Tahoma"/>
          <w:i/>
          <w:sz w:val="20"/>
          <w:szCs w:val="20"/>
        </w:rPr>
        <w:t>is no</w:t>
      </w:r>
      <w:r w:rsidR="005C0B8F" w:rsidRPr="00DD5C5F">
        <w:rPr>
          <w:rFonts w:ascii="Book Antiqua" w:hAnsi="Book Antiqua" w:cs="Tahoma"/>
          <w:i/>
          <w:sz w:val="20"/>
          <w:szCs w:val="20"/>
        </w:rPr>
        <w:t xml:space="preserve"> voluntary act of implementing a decision that has permanent legal force. Thus, establishing</w:t>
      </w:r>
      <w:r w:rsidR="00E274E7" w:rsidRPr="00DD5C5F">
        <w:rPr>
          <w:rFonts w:ascii="Book Antiqua" w:hAnsi="Book Antiqua" w:cs="Tahoma"/>
          <w:i/>
          <w:sz w:val="20"/>
          <w:szCs w:val="20"/>
        </w:rPr>
        <w:t xml:space="preserve"> </w:t>
      </w:r>
      <w:r w:rsidR="00393D50" w:rsidRPr="00DD5C5F">
        <w:rPr>
          <w:rFonts w:ascii="Book Antiqua" w:hAnsi="Book Antiqua" w:cs="Tahoma"/>
          <w:i/>
          <w:sz w:val="20"/>
          <w:szCs w:val="20"/>
        </w:rPr>
        <w:t>the validity</w:t>
      </w:r>
      <w:r w:rsidR="00E274E7" w:rsidRPr="00DD5C5F">
        <w:rPr>
          <w:rFonts w:ascii="Book Antiqua" w:hAnsi="Book Antiqua" w:cs="Tahoma"/>
          <w:i/>
          <w:sz w:val="20"/>
          <w:szCs w:val="20"/>
        </w:rPr>
        <w:t xml:space="preserve"> of the executorial right </w:t>
      </w:r>
      <w:r w:rsidR="00393D50" w:rsidRPr="00DD5C5F">
        <w:rPr>
          <w:rFonts w:ascii="Book Antiqua" w:hAnsi="Book Antiqua" w:cs="Tahoma"/>
          <w:i/>
          <w:sz w:val="20"/>
          <w:szCs w:val="20"/>
        </w:rPr>
        <w:t>when</w:t>
      </w:r>
      <w:r w:rsidR="005C0B8F" w:rsidRPr="00DD5C5F">
        <w:rPr>
          <w:rFonts w:ascii="Book Antiqua" w:hAnsi="Book Antiqua" w:cs="Tahoma"/>
          <w:i/>
          <w:sz w:val="20"/>
          <w:szCs w:val="20"/>
        </w:rPr>
        <w:t xml:space="preserve"> there is a voluntary surrender</w:t>
      </w:r>
      <w:r w:rsidR="00393D50" w:rsidRPr="00DD5C5F">
        <w:rPr>
          <w:rFonts w:ascii="Book Antiqua" w:hAnsi="Book Antiqua" w:cs="Tahoma"/>
          <w:i/>
          <w:sz w:val="20"/>
          <w:szCs w:val="20"/>
        </w:rPr>
        <w:t xml:space="preserve"> is</w:t>
      </w:r>
      <w:r w:rsidR="00E274E7" w:rsidRPr="00DD5C5F">
        <w:rPr>
          <w:rFonts w:ascii="Book Antiqua" w:hAnsi="Book Antiqua" w:cs="Tahoma"/>
          <w:i/>
          <w:sz w:val="20"/>
          <w:szCs w:val="20"/>
        </w:rPr>
        <w:t xml:space="preserve"> contrary to the nature of the execution itself. Second, in making a decision, the judge should put forward the principle of legal mind, namely legal certainty, justice and usefulness. In the Constitutional Court ruling amar judge</w:t>
      </w:r>
      <w:r w:rsidR="005C0B8F" w:rsidRPr="00DD5C5F">
        <w:rPr>
          <w:rFonts w:ascii="Book Antiqua" w:hAnsi="Book Antiqua" w:cs="Tahoma"/>
          <w:i/>
          <w:sz w:val="20"/>
          <w:szCs w:val="20"/>
        </w:rPr>
        <w:t xml:space="preserve">'s decision does not reflect the certainty, justice and kemanfaatn. </w:t>
      </w:r>
    </w:p>
    <w:p w14:paraId="50367B49" w14:textId="77777777" w:rsidR="00AF540F" w:rsidRPr="00DD5C5F" w:rsidRDefault="00AF540F" w:rsidP="00DD5C5F">
      <w:pPr>
        <w:spacing w:line="240" w:lineRule="auto"/>
        <w:ind w:right="1"/>
        <w:jc w:val="both"/>
        <w:rPr>
          <w:rFonts w:ascii="Book Antiqua" w:hAnsi="Book Antiqua" w:cs="Tahoma"/>
          <w:i/>
          <w:noProof/>
          <w:sz w:val="20"/>
          <w:szCs w:val="20"/>
        </w:rPr>
      </w:pPr>
      <w:r w:rsidRPr="00DD5C5F">
        <w:rPr>
          <w:rFonts w:ascii="Book Antiqua" w:hAnsi="Book Antiqua" w:cs="Tahoma"/>
          <w:b/>
          <w:i/>
          <w:noProof/>
          <w:sz w:val="20"/>
          <w:szCs w:val="20"/>
        </w:rPr>
        <w:t>Keyword</w:t>
      </w:r>
      <w:r w:rsidRPr="00DD5C5F">
        <w:rPr>
          <w:rFonts w:ascii="Book Antiqua" w:hAnsi="Book Antiqua" w:cs="Tahoma"/>
          <w:i/>
          <w:noProof/>
          <w:sz w:val="20"/>
          <w:szCs w:val="20"/>
        </w:rPr>
        <w:t>: Constitutional Court decision, execution, fiduciary</w:t>
      </w:r>
    </w:p>
    <w:p w14:paraId="1FF70695" w14:textId="7AFF197F" w:rsidR="004C2437" w:rsidRPr="00DD5C5F" w:rsidRDefault="004C2437" w:rsidP="007F449B">
      <w:pPr>
        <w:pStyle w:val="ListParagraph"/>
        <w:numPr>
          <w:ilvl w:val="0"/>
          <w:numId w:val="30"/>
        </w:numPr>
        <w:ind w:left="284" w:hanging="284"/>
        <w:rPr>
          <w:rFonts w:ascii="Book Antiqua" w:hAnsi="Book Antiqua" w:cs="Tahoma"/>
          <w:b/>
          <w:sz w:val="24"/>
          <w:szCs w:val="28"/>
        </w:rPr>
      </w:pPr>
      <w:r w:rsidRPr="00DD5C5F">
        <w:rPr>
          <w:rFonts w:ascii="Book Antiqua" w:hAnsi="Book Antiqua" w:cs="Tahoma"/>
          <w:b/>
          <w:sz w:val="24"/>
          <w:szCs w:val="28"/>
        </w:rPr>
        <w:t>Introduction</w:t>
      </w:r>
    </w:p>
    <w:p w14:paraId="62C45719" w14:textId="77777777" w:rsidR="004C2437" w:rsidRPr="00DD5C5F" w:rsidRDefault="0091324F" w:rsidP="00E37C6D">
      <w:pPr>
        <w:adjustRightInd w:val="0"/>
        <w:spacing w:after="0" w:line="240" w:lineRule="auto"/>
        <w:ind w:right="1" w:firstLine="567"/>
        <w:jc w:val="both"/>
        <w:rPr>
          <w:rFonts w:ascii="Book Antiqua" w:hAnsi="Book Antiqua" w:cs="Tahoma"/>
          <w:noProof/>
          <w:sz w:val="24"/>
          <w:szCs w:val="24"/>
        </w:rPr>
      </w:pPr>
      <w:bookmarkStart w:id="1" w:name="_Hlk111531621"/>
      <w:bookmarkStart w:id="2" w:name="_Hlk111533343"/>
      <w:r w:rsidRPr="00DD5C5F">
        <w:rPr>
          <w:rFonts w:ascii="Book Antiqua" w:hAnsi="Book Antiqua" w:cs="Tahoma"/>
          <w:noProof/>
          <w:sz w:val="24"/>
          <w:szCs w:val="24"/>
        </w:rPr>
        <w:t xml:space="preserve">The existence of fiudusia as material security has existed since colonial </w:t>
      </w:r>
      <w:r w:rsidR="009926B4" w:rsidRPr="00DD5C5F">
        <w:rPr>
          <w:rFonts w:ascii="Book Antiqua" w:hAnsi="Book Antiqua" w:cs="Tahoma"/>
          <w:noProof/>
          <w:sz w:val="24"/>
          <w:szCs w:val="24"/>
        </w:rPr>
        <w:t>B</w:t>
      </w:r>
      <w:r w:rsidRPr="00DD5C5F">
        <w:rPr>
          <w:rFonts w:ascii="Book Antiqua" w:hAnsi="Book Antiqua" w:cs="Tahoma"/>
          <w:noProof/>
          <w:sz w:val="24"/>
          <w:szCs w:val="24"/>
        </w:rPr>
        <w:t xml:space="preserve">times. However, </w:t>
      </w:r>
      <w:r w:rsidR="00006006" w:rsidRPr="00DD5C5F">
        <w:rPr>
          <w:rFonts w:ascii="Book Antiqua" w:hAnsi="Book Antiqua" w:cs="Tahoma"/>
          <w:noProof/>
          <w:sz w:val="24"/>
          <w:szCs w:val="24"/>
        </w:rPr>
        <w:t xml:space="preserve">only in 1999 it was legislated in Law Number 42 of 1999 on fiduciary security. </w:t>
      </w:r>
      <w:r w:rsidRPr="00DD5C5F">
        <w:rPr>
          <w:rFonts w:ascii="Book Antiqua" w:hAnsi="Book Antiqua" w:cs="Tahoma"/>
          <w:noProof/>
          <w:sz w:val="24"/>
          <w:szCs w:val="24"/>
        </w:rPr>
        <w:t>Fiduciary</w:t>
      </w:r>
      <w:r w:rsidR="009926B4" w:rsidRPr="00DD5C5F">
        <w:rPr>
          <w:rFonts w:ascii="Book Antiqua" w:hAnsi="Book Antiqua" w:cs="Tahoma"/>
          <w:noProof/>
          <w:sz w:val="24"/>
          <w:szCs w:val="24"/>
        </w:rPr>
        <w:t xml:space="preserve">development is relatively slow but a very important development </w:t>
      </w:r>
      <w:r w:rsidR="00747A22" w:rsidRPr="00DD5C5F">
        <w:rPr>
          <w:rFonts w:ascii="Book Antiqua" w:hAnsi="Book Antiqua" w:cs="Tahoma"/>
          <w:noProof/>
          <w:sz w:val="24"/>
          <w:szCs w:val="24"/>
        </w:rPr>
        <w:t>occurred</w:t>
      </w:r>
      <w:r w:rsidR="009926B4" w:rsidRPr="00DD5C5F">
        <w:rPr>
          <w:rFonts w:ascii="Book Antiqua" w:hAnsi="Book Antiqua" w:cs="Tahoma"/>
          <w:noProof/>
          <w:sz w:val="24"/>
          <w:szCs w:val="24"/>
        </w:rPr>
        <w:t xml:space="preserve"> </w:t>
      </w:r>
      <w:r w:rsidR="004C2437" w:rsidRPr="00DD5C5F">
        <w:rPr>
          <w:rFonts w:ascii="Book Antiqua" w:hAnsi="Book Antiqua" w:cs="Tahoma"/>
          <w:noProof/>
          <w:sz w:val="24"/>
          <w:szCs w:val="24"/>
        </w:rPr>
        <w:t xml:space="preserve">during the </w:t>
      </w:r>
      <w:r w:rsidRPr="00DD5C5F">
        <w:rPr>
          <w:rFonts w:ascii="Book Antiqua" w:hAnsi="Book Antiqua" w:cs="Tahoma"/>
          <w:noProof/>
          <w:sz w:val="24"/>
          <w:szCs w:val="24"/>
        </w:rPr>
        <w:t>entry</w:t>
      </w:r>
      <w:r w:rsidR="004C2437" w:rsidRPr="00DD5C5F">
        <w:rPr>
          <w:rFonts w:ascii="Book Antiqua" w:hAnsi="Book Antiqua" w:cs="Tahoma"/>
          <w:noProof/>
          <w:sz w:val="24"/>
          <w:szCs w:val="24"/>
        </w:rPr>
        <w:t xml:space="preserve"> into force of online registration </w:t>
      </w:r>
      <w:r w:rsidR="00747A22" w:rsidRPr="00DD5C5F">
        <w:rPr>
          <w:rFonts w:ascii="Book Antiqua" w:hAnsi="Book Antiqua" w:cs="Tahoma"/>
          <w:noProof/>
          <w:sz w:val="24"/>
          <w:szCs w:val="24"/>
        </w:rPr>
        <w:t xml:space="preserve">in </w:t>
      </w:r>
      <w:r w:rsidR="004C2437" w:rsidRPr="00DD5C5F">
        <w:rPr>
          <w:rFonts w:ascii="Book Antiqua" w:hAnsi="Book Antiqua" w:cs="Tahoma"/>
          <w:noProof/>
          <w:sz w:val="24"/>
          <w:szCs w:val="24"/>
        </w:rPr>
        <w:t>2013</w:t>
      </w:r>
      <w:r w:rsidR="000F6570" w:rsidRPr="00DD5C5F">
        <w:rPr>
          <w:rFonts w:ascii="Book Antiqua" w:hAnsi="Book Antiqua" w:cs="Tahoma"/>
          <w:noProof/>
          <w:sz w:val="24"/>
          <w:szCs w:val="24"/>
        </w:rPr>
        <w:t xml:space="preserve"> </w:t>
      </w:r>
      <w:r w:rsidR="004C2437" w:rsidRPr="00DD5C5F">
        <w:rPr>
          <w:rFonts w:ascii="Book Antiqua" w:hAnsi="Book Antiqua" w:cs="Tahoma"/>
          <w:noProof/>
          <w:sz w:val="24"/>
          <w:szCs w:val="24"/>
        </w:rPr>
        <w:t xml:space="preserve">and </w:t>
      </w:r>
      <w:r w:rsidR="00747A22" w:rsidRPr="00DD5C5F">
        <w:rPr>
          <w:rFonts w:ascii="Book Antiqua" w:hAnsi="Book Antiqua" w:cs="Tahoma"/>
          <w:noProof/>
          <w:sz w:val="24"/>
          <w:szCs w:val="24"/>
        </w:rPr>
        <w:t>the issuance</w:t>
      </w:r>
      <w:r w:rsidR="009926B4" w:rsidRPr="00DD5C5F">
        <w:rPr>
          <w:rFonts w:ascii="Book Antiqua" w:hAnsi="Book Antiqua" w:cs="Tahoma"/>
          <w:noProof/>
          <w:sz w:val="24"/>
          <w:szCs w:val="24"/>
        </w:rPr>
        <w:t xml:space="preserve"> </w:t>
      </w:r>
      <w:r w:rsidR="004C2437" w:rsidRPr="00DD5C5F">
        <w:rPr>
          <w:rFonts w:ascii="Book Antiqua" w:hAnsi="Book Antiqua" w:cs="Tahoma"/>
          <w:noProof/>
          <w:sz w:val="24"/>
          <w:szCs w:val="24"/>
        </w:rPr>
        <w:t xml:space="preserve">of Constitutional Court decision Number </w:t>
      </w:r>
      <w:r w:rsidR="004C2437" w:rsidRPr="00DD5C5F">
        <w:rPr>
          <w:rFonts w:ascii="Book Antiqua" w:hAnsi="Book Antiqua" w:cs="Tahoma"/>
          <w:sz w:val="24"/>
          <w:szCs w:val="24"/>
          <w:lang w:val="id-ID"/>
        </w:rPr>
        <w:t>Number 18/PUU-XVII/2019</w:t>
      </w:r>
      <w:r w:rsidR="00035F80" w:rsidRPr="00DD5C5F">
        <w:rPr>
          <w:rFonts w:ascii="Book Antiqua" w:hAnsi="Book Antiqua" w:cs="Tahoma"/>
          <w:sz w:val="24"/>
          <w:szCs w:val="24"/>
        </w:rPr>
        <w:t xml:space="preserve"> (Constitutional Court decision). </w:t>
      </w:r>
      <w:r w:rsidR="004C2437" w:rsidRPr="00DD5C5F">
        <w:rPr>
          <w:rFonts w:ascii="Book Antiqua" w:hAnsi="Book Antiqua" w:cs="Tahoma"/>
          <w:sz w:val="24"/>
          <w:szCs w:val="24"/>
        </w:rPr>
        <w:t>This Constitutional</w:t>
      </w:r>
      <w:r w:rsidR="00035F80" w:rsidRPr="00DD5C5F">
        <w:rPr>
          <w:rFonts w:ascii="Book Antiqua" w:hAnsi="Book Antiqua" w:cs="Tahoma"/>
          <w:sz w:val="24"/>
          <w:szCs w:val="24"/>
        </w:rPr>
        <w:t xml:space="preserve"> Court </w:t>
      </w:r>
      <w:r w:rsidR="009926B4" w:rsidRPr="00DD5C5F">
        <w:rPr>
          <w:rFonts w:ascii="Book Antiqua" w:hAnsi="Book Antiqua" w:cs="Tahoma"/>
          <w:sz w:val="24"/>
          <w:szCs w:val="24"/>
        </w:rPr>
        <w:t xml:space="preserve">decision is </w:t>
      </w:r>
      <w:r w:rsidR="004C2437" w:rsidRPr="00DD5C5F">
        <w:rPr>
          <w:rFonts w:ascii="Book Antiqua" w:hAnsi="Book Antiqua" w:cs="Tahoma"/>
          <w:sz w:val="24"/>
          <w:szCs w:val="24"/>
        </w:rPr>
        <w:t xml:space="preserve">a test </w:t>
      </w:r>
      <w:r w:rsidR="00035F80" w:rsidRPr="00DD5C5F">
        <w:rPr>
          <w:rFonts w:ascii="Book Antiqua" w:hAnsi="Book Antiqua" w:cs="Tahoma"/>
          <w:sz w:val="24"/>
          <w:szCs w:val="24"/>
        </w:rPr>
        <w:t xml:space="preserve">of </w:t>
      </w:r>
      <w:r w:rsidR="004C2437" w:rsidRPr="00DD5C5F">
        <w:rPr>
          <w:rFonts w:ascii="Book Antiqua" w:hAnsi="Book Antiqua" w:cs="Tahoma"/>
          <w:sz w:val="24"/>
          <w:szCs w:val="24"/>
          <w:lang w:val="id-ID"/>
        </w:rPr>
        <w:t xml:space="preserve">Article 15 Paragraph (2) and Paragraph (3) of Law Number 42 of 1999 concerning fiduciary </w:t>
      </w:r>
      <w:r w:rsidR="000F6570" w:rsidRPr="00DD5C5F">
        <w:rPr>
          <w:rFonts w:ascii="Book Antiqua" w:hAnsi="Book Antiqua" w:cs="Tahoma"/>
          <w:sz w:val="24"/>
          <w:szCs w:val="24"/>
        </w:rPr>
        <w:t>security (</w:t>
      </w:r>
      <w:r w:rsidR="004C2437" w:rsidRPr="00DD5C5F">
        <w:rPr>
          <w:rFonts w:ascii="Book Antiqua" w:hAnsi="Book Antiqua" w:cs="Tahoma"/>
          <w:sz w:val="24"/>
          <w:szCs w:val="24"/>
          <w:lang w:val="id-ID"/>
        </w:rPr>
        <w:t>UUJF).</w:t>
      </w:r>
    </w:p>
    <w:p w14:paraId="214E332D" w14:textId="77777777" w:rsidR="004C2437" w:rsidRPr="00DD5C5F" w:rsidRDefault="000F6570" w:rsidP="00E37C6D">
      <w:pPr>
        <w:pStyle w:val="ListParagraph"/>
        <w:ind w:left="0" w:firstLine="567"/>
        <w:jc w:val="both"/>
        <w:rPr>
          <w:rFonts w:ascii="Book Antiqua" w:hAnsi="Book Antiqua" w:cs="Tahoma"/>
          <w:sz w:val="24"/>
          <w:szCs w:val="24"/>
          <w:lang w:val="en-US"/>
        </w:rPr>
      </w:pPr>
      <w:r w:rsidRPr="00DD5C5F">
        <w:rPr>
          <w:rFonts w:ascii="Book Antiqua" w:hAnsi="Book Antiqua" w:cs="Tahoma"/>
          <w:sz w:val="24"/>
          <w:szCs w:val="24"/>
          <w:lang w:val="en-US"/>
        </w:rPr>
        <w:t xml:space="preserve">Material test </w:t>
      </w:r>
      <w:r w:rsidR="004C2437" w:rsidRPr="00DD5C5F">
        <w:rPr>
          <w:rFonts w:ascii="Book Antiqua" w:hAnsi="Book Antiqua" w:cs="Tahoma"/>
          <w:sz w:val="24"/>
          <w:szCs w:val="24"/>
          <w:lang w:val="id-ID"/>
        </w:rPr>
        <w:t>Pa</w:t>
      </w:r>
      <w:r w:rsidRPr="00DD5C5F">
        <w:rPr>
          <w:rFonts w:ascii="Book Antiqua" w:hAnsi="Book Antiqua" w:cs="Tahoma"/>
          <w:sz w:val="24"/>
          <w:szCs w:val="24"/>
          <w:lang w:val="id-ID"/>
        </w:rPr>
        <w:t>sal 15 Paragraph (2) of</w:t>
      </w:r>
      <w:r w:rsidR="004C2437" w:rsidRPr="00DD5C5F">
        <w:rPr>
          <w:rFonts w:ascii="Book Antiqua" w:hAnsi="Book Antiqua" w:cs="Tahoma"/>
          <w:sz w:val="24"/>
          <w:szCs w:val="24"/>
          <w:lang w:val="id-ID"/>
        </w:rPr>
        <w:t xml:space="preserve"> </w:t>
      </w:r>
      <w:r w:rsidRPr="00DD5C5F">
        <w:rPr>
          <w:rFonts w:ascii="Book Antiqua" w:hAnsi="Book Antiqua" w:cs="Tahoma"/>
          <w:sz w:val="24"/>
          <w:szCs w:val="24"/>
          <w:lang w:val="en-US"/>
        </w:rPr>
        <w:t>the UUJF regarding the right</w:t>
      </w:r>
      <w:r w:rsidR="004C2437" w:rsidRPr="00DD5C5F">
        <w:rPr>
          <w:rFonts w:ascii="Book Antiqua" w:hAnsi="Book Antiqua" w:cs="Tahoma"/>
          <w:sz w:val="24"/>
          <w:szCs w:val="24"/>
          <w:lang w:val="id-ID"/>
        </w:rPr>
        <w:t xml:space="preserve"> of eksekutiorial</w:t>
      </w:r>
      <w:r w:rsidRPr="00DD5C5F">
        <w:rPr>
          <w:rFonts w:ascii="Book Antiqua" w:hAnsi="Book Antiqua" w:cs="Tahoma"/>
          <w:sz w:val="24"/>
          <w:szCs w:val="24"/>
          <w:lang w:val="en-US"/>
        </w:rPr>
        <w:t xml:space="preserve"> and parate </w:t>
      </w:r>
      <w:r w:rsidR="008A1BD0" w:rsidRPr="00DD5C5F">
        <w:rPr>
          <w:rFonts w:ascii="Book Antiqua" w:hAnsi="Book Antiqua" w:cs="Tahoma"/>
          <w:sz w:val="24"/>
          <w:szCs w:val="24"/>
          <w:lang w:val="en-US"/>
        </w:rPr>
        <w:t>and</w:t>
      </w:r>
      <w:r w:rsidRPr="00DD5C5F">
        <w:rPr>
          <w:rFonts w:ascii="Book Antiqua" w:hAnsi="Book Antiqua" w:cs="Tahoma"/>
          <w:sz w:val="24"/>
          <w:szCs w:val="24"/>
          <w:lang w:val="en-US"/>
        </w:rPr>
        <w:t xml:space="preserve"> Paragraph (3) regarding </w:t>
      </w:r>
      <w:r w:rsidR="00A55E16" w:rsidRPr="00DD5C5F">
        <w:rPr>
          <w:rFonts w:ascii="Book Antiqua" w:hAnsi="Book Antiqua" w:cs="Tahoma"/>
          <w:sz w:val="24"/>
          <w:szCs w:val="24"/>
          <w:lang w:val="en-US"/>
        </w:rPr>
        <w:t>klausul</w:t>
      </w:r>
      <w:r w:rsidRPr="00DD5C5F">
        <w:rPr>
          <w:rFonts w:ascii="Book Antiqua" w:hAnsi="Book Antiqua" w:cs="Tahoma"/>
          <w:sz w:val="24"/>
          <w:szCs w:val="24"/>
          <w:lang w:val="en-US"/>
        </w:rPr>
        <w:t>the promise injury clause.</w:t>
      </w:r>
      <w:r w:rsidR="00A55E16" w:rsidRPr="00DD5C5F">
        <w:rPr>
          <w:rFonts w:ascii="Book Antiqua" w:hAnsi="Book Antiqua" w:cs="Tahoma"/>
          <w:sz w:val="24"/>
          <w:szCs w:val="24"/>
          <w:lang w:val="en-US"/>
        </w:rPr>
        <w:t xml:space="preserve"> </w:t>
      </w:r>
      <w:r w:rsidR="004C2437" w:rsidRPr="00DD5C5F">
        <w:rPr>
          <w:rFonts w:ascii="Book Antiqua" w:hAnsi="Book Antiqua" w:cs="Tahoma"/>
          <w:sz w:val="24"/>
          <w:szCs w:val="24"/>
          <w:lang w:val="id-ID"/>
        </w:rPr>
        <w:t>The applicant assumes that</w:t>
      </w:r>
      <w:r w:rsidR="004C2437" w:rsidRPr="00DD5C5F">
        <w:rPr>
          <w:rFonts w:ascii="Book Antiqua" w:hAnsi="Book Antiqua" w:cs="Tahoma"/>
          <w:sz w:val="24"/>
          <w:szCs w:val="24"/>
          <w:lang w:val="en-US"/>
        </w:rPr>
        <w:t xml:space="preserve"> the phrase reads :</w:t>
      </w:r>
    </w:p>
    <w:p w14:paraId="500DF7B3" w14:textId="77777777" w:rsidR="004C2437" w:rsidRPr="00DD5C5F" w:rsidRDefault="004C2437" w:rsidP="007F449B">
      <w:pPr>
        <w:pStyle w:val="ListParagraph"/>
        <w:tabs>
          <w:tab w:val="left" w:pos="3781"/>
        </w:tabs>
        <w:ind w:left="1560" w:right="-47" w:hanging="426"/>
        <w:jc w:val="both"/>
        <w:rPr>
          <w:rFonts w:ascii="Book Antiqua" w:hAnsi="Book Antiqua" w:cs="Tahoma"/>
          <w:sz w:val="24"/>
          <w:szCs w:val="24"/>
          <w:lang w:val="en-US"/>
        </w:rPr>
      </w:pPr>
      <w:r w:rsidRPr="00DD5C5F">
        <w:rPr>
          <w:rFonts w:ascii="Book Antiqua" w:hAnsi="Book Antiqua" w:cs="Tahoma"/>
          <w:sz w:val="24"/>
          <w:szCs w:val="24"/>
          <w:lang w:val="en-US"/>
        </w:rPr>
        <w:t>(2)” ... an executorial power equal to that of a filing judgment which has acquired permanent legal force; and"</w:t>
      </w:r>
    </w:p>
    <w:p w14:paraId="42E46A44" w14:textId="77777777" w:rsidR="004C2437" w:rsidRPr="00DD5C5F" w:rsidRDefault="004C2437" w:rsidP="007F449B">
      <w:pPr>
        <w:pStyle w:val="ListParagraph"/>
        <w:tabs>
          <w:tab w:val="left" w:pos="3781"/>
        </w:tabs>
        <w:ind w:left="1560" w:right="-47" w:hanging="426"/>
        <w:jc w:val="both"/>
        <w:rPr>
          <w:rFonts w:ascii="Book Antiqua" w:hAnsi="Book Antiqua" w:cs="Tahoma"/>
          <w:sz w:val="24"/>
          <w:szCs w:val="24"/>
          <w:lang w:val="en-US"/>
        </w:rPr>
      </w:pPr>
      <w:r w:rsidRPr="00DD5C5F">
        <w:rPr>
          <w:rFonts w:ascii="Book Antiqua" w:hAnsi="Book Antiqua" w:cs="Tahoma"/>
          <w:sz w:val="24"/>
          <w:szCs w:val="24"/>
          <w:lang w:val="en-US"/>
        </w:rPr>
        <w:t xml:space="preserve">(3) " If the debtor's pledge is injured, the fiduciary recipient has the right to sell the object that is the object of fiduciary security on his own power.” </w:t>
      </w:r>
    </w:p>
    <w:p w14:paraId="4FCD7D2E" w14:textId="77777777" w:rsidR="004C2437" w:rsidRPr="00DD5C5F" w:rsidRDefault="008A1BD0" w:rsidP="00E37C6D">
      <w:pPr>
        <w:spacing w:after="0" w:line="240" w:lineRule="auto"/>
        <w:ind w:firstLine="709"/>
        <w:jc w:val="both"/>
        <w:rPr>
          <w:rFonts w:ascii="Book Antiqua" w:hAnsi="Book Antiqua" w:cs="Tahoma"/>
          <w:sz w:val="24"/>
          <w:szCs w:val="24"/>
        </w:rPr>
      </w:pPr>
      <w:r w:rsidRPr="00DD5C5F">
        <w:rPr>
          <w:rFonts w:ascii="Book Antiqua" w:hAnsi="Book Antiqua" w:cs="Tahoma"/>
          <w:sz w:val="24"/>
          <w:szCs w:val="24"/>
        </w:rPr>
        <w:t xml:space="preserve">The applicant considers that the two phrases above are not in accordance with </w:t>
      </w:r>
      <w:r w:rsidR="004C2437" w:rsidRPr="00DD5C5F">
        <w:rPr>
          <w:rFonts w:ascii="Book Antiqua" w:hAnsi="Book Antiqua" w:cs="Tahoma"/>
          <w:sz w:val="24"/>
          <w:szCs w:val="24"/>
        </w:rPr>
        <w:t>the applicant's constitutional rights listed in “Article 1 Paragraph (3), Article 27 paragraph (1), Article 28D paragraph (1), Article 28g paragraph (1) and Article 28h paragraph (4)</w:t>
      </w:r>
      <w:r w:rsidR="004C2437" w:rsidRPr="00DD5C5F">
        <w:rPr>
          <w:rFonts w:ascii="Book Antiqua" w:hAnsi="Book Antiqua" w:cs="Tahoma"/>
          <w:sz w:val="24"/>
          <w:szCs w:val="24"/>
          <w:lang w:val="id-ID"/>
        </w:rPr>
        <w:t xml:space="preserve"> of the 1945</w:t>
      </w:r>
      <w:r w:rsidR="004C2437" w:rsidRPr="00DD5C5F">
        <w:rPr>
          <w:rFonts w:ascii="Book Antiqua" w:hAnsi="Book Antiqua" w:cs="Tahoma"/>
          <w:sz w:val="24"/>
          <w:szCs w:val="24"/>
        </w:rPr>
        <w:t>Constitution”</w:t>
      </w:r>
      <w:r w:rsidR="004C2437" w:rsidRPr="00DD5C5F">
        <w:rPr>
          <w:rFonts w:ascii="Book Antiqua" w:hAnsi="Book Antiqua" w:cs="Tahoma"/>
          <w:sz w:val="24"/>
          <w:szCs w:val="24"/>
          <w:lang w:val="id-ID"/>
        </w:rPr>
        <w:t xml:space="preserve">. </w:t>
      </w:r>
      <w:r w:rsidRPr="00DD5C5F">
        <w:rPr>
          <w:rFonts w:ascii="Book Antiqua" w:hAnsi="Book Antiqua" w:cs="Tahoma"/>
          <w:sz w:val="24"/>
          <w:szCs w:val="24"/>
        </w:rPr>
        <w:t>Mahkamah Konsti</w:t>
      </w:r>
      <w:r w:rsidR="00747A22" w:rsidRPr="00DD5C5F">
        <w:rPr>
          <w:rFonts w:ascii="Book Antiqua" w:hAnsi="Book Antiqua" w:cs="Tahoma"/>
          <w:sz w:val="24"/>
          <w:szCs w:val="24"/>
        </w:rPr>
        <w:t>The Konsti tusi court</w:t>
      </w:r>
      <w:r w:rsidRPr="00DD5C5F">
        <w:rPr>
          <w:rFonts w:ascii="Book Antiqua" w:hAnsi="Book Antiqua" w:cs="Tahoma"/>
          <w:sz w:val="24"/>
          <w:szCs w:val="24"/>
        </w:rPr>
        <w:t xml:space="preserve"> in </w:t>
      </w:r>
      <w:r w:rsidR="004C2437" w:rsidRPr="00DD5C5F">
        <w:rPr>
          <w:rFonts w:ascii="Book Antiqua" w:hAnsi="Book Antiqua" w:cs="Tahoma"/>
          <w:sz w:val="24"/>
          <w:szCs w:val="24"/>
          <w:lang w:val="id-ID"/>
        </w:rPr>
        <w:t>its decision granted the applicant's claim for part</w:t>
      </w:r>
      <w:r w:rsidR="004C2437" w:rsidRPr="00DD5C5F">
        <w:rPr>
          <w:rFonts w:ascii="Book Antiqua" w:hAnsi="Book Antiqua" w:cs="Tahoma"/>
          <w:sz w:val="24"/>
          <w:szCs w:val="24"/>
        </w:rPr>
        <w:t xml:space="preserve"> and made a redefinition of “Article 15 </w:t>
      </w:r>
      <w:r w:rsidR="004C2437" w:rsidRPr="00DD5C5F">
        <w:rPr>
          <w:rFonts w:ascii="Book Antiqua" w:hAnsi="Book Antiqua" w:cs="Tahoma"/>
          <w:sz w:val="24"/>
          <w:szCs w:val="24"/>
        </w:rPr>
        <w:lastRenderedPageBreak/>
        <w:t xml:space="preserve">paragraphs (2) and (3)”. From the decision of the Constitutional Court there </w:t>
      </w:r>
      <w:r w:rsidR="004C2437" w:rsidRPr="00DD5C5F">
        <w:rPr>
          <w:rFonts w:ascii="Book Antiqua" w:hAnsi="Book Antiqua" w:cs="Tahoma"/>
          <w:sz w:val="24"/>
          <w:szCs w:val="24"/>
          <w:lang w:val="id-ID"/>
        </w:rPr>
        <w:t xml:space="preserve">are two </w:t>
      </w:r>
      <w:r w:rsidR="004C2437" w:rsidRPr="00DD5C5F">
        <w:rPr>
          <w:rFonts w:ascii="Book Antiqua" w:hAnsi="Book Antiqua" w:cs="Tahoma"/>
          <w:sz w:val="24"/>
          <w:szCs w:val="24"/>
        </w:rPr>
        <w:t>juridical implications, namely:</w:t>
      </w:r>
    </w:p>
    <w:p w14:paraId="19483CAF" w14:textId="77777777" w:rsidR="004C2437" w:rsidRPr="00DD5C5F" w:rsidRDefault="004C2437" w:rsidP="007F449B">
      <w:pPr>
        <w:pStyle w:val="ListParagraph"/>
        <w:widowControl/>
        <w:numPr>
          <w:ilvl w:val="0"/>
          <w:numId w:val="25"/>
        </w:numPr>
        <w:autoSpaceDE/>
        <w:autoSpaceDN/>
        <w:ind w:left="851" w:hanging="425"/>
        <w:contextualSpacing/>
        <w:jc w:val="both"/>
        <w:rPr>
          <w:rFonts w:ascii="Book Antiqua" w:hAnsi="Book Antiqua" w:cs="Tahoma"/>
          <w:sz w:val="24"/>
          <w:szCs w:val="24"/>
        </w:rPr>
      </w:pPr>
      <w:r w:rsidRPr="00DD5C5F">
        <w:rPr>
          <w:rFonts w:ascii="Book Antiqua" w:hAnsi="Book Antiqua" w:cs="Tahoma"/>
          <w:sz w:val="24"/>
          <w:szCs w:val="24"/>
        </w:rPr>
        <w:t>The Executorial nature of the fiduciary certificate may apply if :</w:t>
      </w:r>
    </w:p>
    <w:p w14:paraId="034CB96E" w14:textId="77777777" w:rsidR="004C2437" w:rsidRPr="00DD5C5F" w:rsidRDefault="008A1BD0" w:rsidP="007F449B">
      <w:pPr>
        <w:pStyle w:val="ListParagraph"/>
        <w:widowControl/>
        <w:numPr>
          <w:ilvl w:val="0"/>
          <w:numId w:val="26"/>
        </w:numPr>
        <w:autoSpaceDE/>
        <w:autoSpaceDN/>
        <w:ind w:left="1134" w:hanging="283"/>
        <w:contextualSpacing/>
        <w:jc w:val="both"/>
        <w:rPr>
          <w:rFonts w:ascii="Book Antiqua" w:hAnsi="Book Antiqua" w:cs="Tahoma"/>
          <w:sz w:val="24"/>
          <w:szCs w:val="24"/>
        </w:rPr>
      </w:pPr>
      <w:r w:rsidRPr="00DD5C5F">
        <w:rPr>
          <w:rFonts w:ascii="Book Antiqua" w:hAnsi="Book Antiqua" w:cs="Tahoma"/>
          <w:sz w:val="24"/>
          <w:szCs w:val="24"/>
        </w:rPr>
        <w:t xml:space="preserve">The existence </w:t>
      </w:r>
      <w:r w:rsidR="004C2437" w:rsidRPr="00DD5C5F">
        <w:rPr>
          <w:rFonts w:ascii="Book Antiqua" w:hAnsi="Book Antiqua" w:cs="Tahoma"/>
          <w:sz w:val="24"/>
          <w:szCs w:val="24"/>
        </w:rPr>
        <w:t>of an agreement on the injury of promises between creditors and debtors</w:t>
      </w:r>
    </w:p>
    <w:p w14:paraId="317258C0" w14:textId="77777777" w:rsidR="004C2437" w:rsidRPr="00DD5C5F" w:rsidRDefault="004C2437" w:rsidP="007F449B">
      <w:pPr>
        <w:pStyle w:val="ListParagraph"/>
        <w:widowControl/>
        <w:numPr>
          <w:ilvl w:val="0"/>
          <w:numId w:val="26"/>
        </w:numPr>
        <w:autoSpaceDE/>
        <w:autoSpaceDN/>
        <w:ind w:left="1134" w:hanging="283"/>
        <w:contextualSpacing/>
        <w:jc w:val="both"/>
        <w:rPr>
          <w:rFonts w:ascii="Book Antiqua" w:hAnsi="Book Antiqua" w:cs="Tahoma"/>
          <w:sz w:val="24"/>
          <w:szCs w:val="24"/>
        </w:rPr>
      </w:pPr>
      <w:r w:rsidRPr="00DD5C5F">
        <w:rPr>
          <w:rFonts w:ascii="Book Antiqua" w:hAnsi="Book Antiqua" w:cs="Tahoma"/>
          <w:sz w:val="24"/>
          <w:szCs w:val="24"/>
        </w:rPr>
        <w:t>The willingness of the debtor or the fiduciary to hand over the object of fiduciary security at the time of execution.</w:t>
      </w:r>
    </w:p>
    <w:p w14:paraId="0AC3828A" w14:textId="77777777" w:rsidR="004C2437" w:rsidRPr="00DD5C5F" w:rsidRDefault="004C2437" w:rsidP="007F449B">
      <w:pPr>
        <w:pStyle w:val="ListParagraph"/>
        <w:widowControl/>
        <w:numPr>
          <w:ilvl w:val="0"/>
          <w:numId w:val="25"/>
        </w:numPr>
        <w:autoSpaceDE/>
        <w:autoSpaceDN/>
        <w:ind w:left="851" w:hanging="425"/>
        <w:contextualSpacing/>
        <w:jc w:val="both"/>
        <w:rPr>
          <w:rFonts w:ascii="Book Antiqua" w:hAnsi="Book Antiqua" w:cs="Tahoma"/>
          <w:sz w:val="24"/>
          <w:szCs w:val="24"/>
        </w:rPr>
      </w:pPr>
      <w:r w:rsidRPr="00DD5C5F">
        <w:rPr>
          <w:rFonts w:ascii="Book Antiqua" w:hAnsi="Book Antiqua" w:cs="Tahoma"/>
          <w:sz w:val="24"/>
          <w:szCs w:val="24"/>
        </w:rPr>
        <w:t>If there is a default of the debtor, then the fiduciary recipient does not have the right to Parate the execution which means the fiduciary recipient cannot auction on his own power unless the two conditions above are met.</w:t>
      </w:r>
    </w:p>
    <w:p w14:paraId="0973A8E0" w14:textId="77777777" w:rsidR="004C2437" w:rsidRPr="00DD5C5F" w:rsidRDefault="004C2437" w:rsidP="00E37C6D">
      <w:pPr>
        <w:spacing w:after="0" w:line="240" w:lineRule="auto"/>
        <w:ind w:firstLine="709"/>
        <w:contextualSpacing/>
        <w:jc w:val="both"/>
        <w:rPr>
          <w:rFonts w:ascii="Book Antiqua" w:hAnsi="Book Antiqua" w:cs="Tahoma"/>
          <w:sz w:val="24"/>
          <w:szCs w:val="24"/>
        </w:rPr>
      </w:pPr>
      <w:r w:rsidRPr="00DD5C5F">
        <w:rPr>
          <w:rFonts w:ascii="Book Antiqua" w:hAnsi="Book Antiqua" w:cs="Tahoma"/>
          <w:sz w:val="24"/>
          <w:szCs w:val="24"/>
        </w:rPr>
        <w:t xml:space="preserve">In </w:t>
      </w:r>
      <w:r w:rsidR="00AA6F0A" w:rsidRPr="00DD5C5F">
        <w:rPr>
          <w:rFonts w:ascii="Book Antiqua" w:hAnsi="Book Antiqua" w:cs="Tahoma"/>
          <w:sz w:val="24"/>
          <w:szCs w:val="24"/>
        </w:rPr>
        <w:t>the legal consideration of the judge</w:t>
      </w:r>
      <w:r w:rsidRPr="00DD5C5F">
        <w:rPr>
          <w:rFonts w:ascii="Book Antiqua" w:hAnsi="Book Antiqua" w:cs="Tahoma"/>
          <w:sz w:val="24"/>
          <w:szCs w:val="24"/>
        </w:rPr>
        <w:t xml:space="preserve"> there is an imbalance of position between the debtor and the creditor. </w:t>
      </w:r>
      <w:r w:rsidR="00546D83" w:rsidRPr="00DD5C5F">
        <w:rPr>
          <w:rFonts w:ascii="Book Antiqua" w:hAnsi="Book Antiqua" w:cs="Tahoma"/>
          <w:sz w:val="24"/>
          <w:szCs w:val="24"/>
        </w:rPr>
        <w:t>Thus, according</w:t>
      </w:r>
      <w:r w:rsidRPr="00DD5C5F">
        <w:rPr>
          <w:rFonts w:ascii="Book Antiqua" w:hAnsi="Book Antiqua" w:cs="Tahoma"/>
          <w:sz w:val="24"/>
          <w:szCs w:val="24"/>
        </w:rPr>
        <w:t xml:space="preserve"> to the judge, it injures the debtor's constitutional rights in obtaining justice based on the 1945 Constitution. </w:t>
      </w:r>
      <w:r w:rsidR="00CB4224" w:rsidRPr="00DD5C5F">
        <w:rPr>
          <w:rFonts w:ascii="Book Antiqua" w:hAnsi="Book Antiqua" w:cs="Tahoma"/>
          <w:sz w:val="24"/>
          <w:szCs w:val="24"/>
        </w:rPr>
        <w:t xml:space="preserve">This Constitutional Court decision makes it difficult </w:t>
      </w:r>
      <w:r w:rsidR="00523283" w:rsidRPr="00DD5C5F">
        <w:rPr>
          <w:rFonts w:ascii="Book Antiqua" w:hAnsi="Book Antiqua" w:cs="Tahoma"/>
          <w:sz w:val="24"/>
          <w:szCs w:val="24"/>
        </w:rPr>
        <w:t xml:space="preserve">for creditors </w:t>
      </w:r>
      <w:r w:rsidRPr="00DD5C5F">
        <w:rPr>
          <w:rFonts w:ascii="Book Antiqua" w:hAnsi="Book Antiqua" w:cs="Tahoma"/>
          <w:sz w:val="24"/>
          <w:szCs w:val="24"/>
        </w:rPr>
        <w:t>to execute</w:t>
      </w:r>
      <w:r w:rsidR="00CB4224" w:rsidRPr="00DD5C5F">
        <w:rPr>
          <w:rFonts w:ascii="Book Antiqua" w:hAnsi="Book Antiqua" w:cs="Tahoma"/>
          <w:sz w:val="24"/>
          <w:szCs w:val="24"/>
        </w:rPr>
        <w:t xml:space="preserve"> </w:t>
      </w:r>
      <w:r w:rsidRPr="00DD5C5F">
        <w:rPr>
          <w:rFonts w:ascii="Book Antiqua" w:hAnsi="Book Antiqua" w:cs="Tahoma"/>
          <w:sz w:val="24"/>
          <w:szCs w:val="24"/>
        </w:rPr>
        <w:t xml:space="preserve">through </w:t>
      </w:r>
      <w:r w:rsidRPr="00DD5C5F">
        <w:rPr>
          <w:rFonts w:ascii="Book Antiqua" w:hAnsi="Book Antiqua" w:cs="Tahoma"/>
          <w:i/>
          <w:sz w:val="24"/>
          <w:szCs w:val="24"/>
        </w:rPr>
        <w:t>an execution</w:t>
      </w:r>
      <w:r w:rsidR="00523283" w:rsidRPr="00DD5C5F">
        <w:rPr>
          <w:rFonts w:ascii="Book Antiqua" w:hAnsi="Book Antiqua" w:cs="Tahoma"/>
          <w:sz w:val="24"/>
          <w:szCs w:val="24"/>
        </w:rPr>
        <w:t xml:space="preserve">Parate. </w:t>
      </w:r>
      <w:r w:rsidR="00CB4224" w:rsidRPr="00DD5C5F">
        <w:rPr>
          <w:rFonts w:ascii="Book Antiqua" w:hAnsi="Book Antiqua" w:cs="Tahoma"/>
          <w:sz w:val="24"/>
          <w:szCs w:val="24"/>
        </w:rPr>
        <w:t>Meanwhile,</w:t>
      </w:r>
      <w:r w:rsidRPr="00DD5C5F">
        <w:rPr>
          <w:rFonts w:ascii="Book Antiqua" w:hAnsi="Book Antiqua" w:cs="Tahoma"/>
          <w:sz w:val="24"/>
          <w:szCs w:val="24"/>
        </w:rPr>
        <w:t xml:space="preserve"> execution through judicial proceedings takes longer and costs more.</w:t>
      </w:r>
      <w:r w:rsidRPr="00DD5C5F">
        <w:rPr>
          <w:rFonts w:ascii="Book Antiqua" w:hAnsi="Book Antiqua" w:cs="Tahoma"/>
          <w:sz w:val="24"/>
          <w:szCs w:val="24"/>
          <w:shd w:val="clear" w:color="auto" w:fill="FFFFFF"/>
        </w:rPr>
        <w:t xml:space="preserve"> </w:t>
      </w:r>
      <w:r w:rsidR="00D333D5" w:rsidRPr="00DD5C5F">
        <w:rPr>
          <w:rFonts w:ascii="Book Antiqua" w:hAnsi="Book Antiqua" w:cs="Tahoma"/>
          <w:sz w:val="24"/>
          <w:szCs w:val="24"/>
          <w:shd w:val="clear" w:color="auto" w:fill="FFFFFF"/>
        </w:rPr>
        <w:t>Kondisi</w:t>
      </w:r>
      <w:r w:rsidRPr="00DD5C5F">
        <w:rPr>
          <w:rFonts w:ascii="Book Antiqua" w:hAnsi="Book Antiqua" w:cs="Tahoma"/>
          <w:sz w:val="24"/>
          <w:szCs w:val="24"/>
          <w:shd w:val="clear" w:color="auto" w:fill="FFFFFF"/>
        </w:rPr>
        <w:t xml:space="preserve"> </w:t>
      </w:r>
      <w:r w:rsidR="00CB4224" w:rsidRPr="00DD5C5F">
        <w:rPr>
          <w:rFonts w:ascii="Book Antiqua" w:hAnsi="Book Antiqua" w:cs="Tahoma"/>
          <w:sz w:val="24"/>
          <w:szCs w:val="24"/>
          <w:shd w:val="clear" w:color="auto" w:fill="FFFFFF"/>
        </w:rPr>
        <w:t xml:space="preserve">This condition </w:t>
      </w:r>
      <w:r w:rsidRPr="00DD5C5F">
        <w:rPr>
          <w:rFonts w:ascii="Book Antiqua" w:hAnsi="Book Antiqua" w:cs="Tahoma"/>
          <w:sz w:val="24"/>
          <w:szCs w:val="24"/>
          <w:shd w:val="clear" w:color="auto" w:fill="FFFFFF"/>
        </w:rPr>
        <w:t>will also affect growth in</w:t>
      </w:r>
      <w:r w:rsidR="006756FC" w:rsidRPr="00DD5C5F">
        <w:rPr>
          <w:rFonts w:ascii="Book Antiqua" w:hAnsi="Book Antiqua" w:cs="Tahoma"/>
          <w:sz w:val="24"/>
          <w:szCs w:val="24"/>
          <w:shd w:val="clear" w:color="auto" w:fill="FFFFFF"/>
        </w:rPr>
        <w:t xml:space="preserve"> the financing sector which generally uses fiduciary security institutions. </w:t>
      </w:r>
    </w:p>
    <w:p w14:paraId="35224A74" w14:textId="7C21F511" w:rsidR="003D2F61" w:rsidRPr="00DD5C5F" w:rsidRDefault="00523283" w:rsidP="00E37C6D">
      <w:pPr>
        <w:tabs>
          <w:tab w:val="left" w:pos="284"/>
          <w:tab w:val="left" w:pos="540"/>
        </w:tabs>
        <w:spacing w:after="0" w:line="240" w:lineRule="auto"/>
        <w:ind w:firstLine="709"/>
        <w:jc w:val="both"/>
        <w:rPr>
          <w:rFonts w:ascii="Book Antiqua" w:hAnsi="Book Antiqua" w:cs="Tahoma"/>
          <w:sz w:val="24"/>
          <w:szCs w:val="24"/>
        </w:rPr>
      </w:pPr>
      <w:r w:rsidRPr="00DD5C5F">
        <w:rPr>
          <w:rFonts w:ascii="Book Antiqua" w:hAnsi="Book Antiqua" w:cs="Tahoma"/>
          <w:sz w:val="24"/>
          <w:szCs w:val="24"/>
        </w:rPr>
        <w:t xml:space="preserve">The judge's decision is the result of the elaboration of legal thought </w:t>
      </w:r>
      <w:r w:rsidR="001E5018" w:rsidRPr="00DD5C5F">
        <w:rPr>
          <w:rFonts w:ascii="Book Antiqua" w:hAnsi="Book Antiqua" w:cs="Tahoma"/>
          <w:sz w:val="24"/>
          <w:szCs w:val="24"/>
        </w:rPr>
        <w:t xml:space="preserve">with </w:t>
      </w:r>
      <w:r w:rsidRPr="00DD5C5F">
        <w:rPr>
          <w:rFonts w:ascii="Book Antiqua" w:hAnsi="Book Antiqua" w:cs="Tahoma"/>
          <w:sz w:val="24"/>
          <w:szCs w:val="24"/>
        </w:rPr>
        <w:t xml:space="preserve">the facts obtained by the judge </w:t>
      </w:r>
      <w:r w:rsidR="00201FA7" w:rsidRPr="00DD5C5F">
        <w:rPr>
          <w:rFonts w:ascii="Book Antiqua" w:hAnsi="Book Antiqua" w:cs="Tahoma"/>
          <w:sz w:val="24"/>
          <w:szCs w:val="24"/>
        </w:rPr>
        <w:t xml:space="preserve">in the trial. The judge's decision </w:t>
      </w:r>
      <w:r w:rsidRPr="00DD5C5F">
        <w:rPr>
          <w:rFonts w:ascii="Book Antiqua" w:hAnsi="Book Antiqua" w:cs="Tahoma"/>
          <w:sz w:val="24"/>
          <w:szCs w:val="24"/>
        </w:rPr>
        <w:t xml:space="preserve">should have been guided by the ideals of the law. </w:t>
      </w:r>
      <w:r w:rsidR="008E1D6E" w:rsidRPr="00DD5C5F">
        <w:rPr>
          <w:rFonts w:ascii="Book Antiqua" w:hAnsi="Book Antiqua" w:cs="Tahoma"/>
          <w:sz w:val="24"/>
          <w:szCs w:val="24"/>
        </w:rPr>
        <w:t xml:space="preserve">The goal of law </w:t>
      </w:r>
      <w:r w:rsidR="00DB232E" w:rsidRPr="00DD5C5F">
        <w:rPr>
          <w:rFonts w:ascii="Book Antiqua" w:hAnsi="Book Antiqua" w:cs="Tahoma"/>
          <w:sz w:val="24"/>
          <w:szCs w:val="24"/>
        </w:rPr>
        <w:t>is defined as</w:t>
      </w:r>
      <w:r w:rsidR="008E1D6E" w:rsidRPr="00DD5C5F">
        <w:rPr>
          <w:rFonts w:ascii="Book Antiqua" w:hAnsi="Book Antiqua" w:cs="Tahoma"/>
          <w:sz w:val="24"/>
          <w:szCs w:val="24"/>
        </w:rPr>
        <w:t xml:space="preserve"> the purpose of law. In the formation of law by the judge through the decision of the legal mind becomes a basic reject in the preparation of the construction of the judge's thinking. </w:t>
      </w:r>
      <w:r w:rsidR="004C2437" w:rsidRPr="00DD5C5F">
        <w:rPr>
          <w:rFonts w:ascii="Book Antiqua" w:hAnsi="Book Antiqua" w:cs="Tahoma"/>
          <w:sz w:val="24"/>
          <w:szCs w:val="24"/>
        </w:rPr>
        <w:t xml:space="preserve">Gustaf Radbruch </w:t>
      </w:r>
      <w:r w:rsidR="008E1D6E" w:rsidRPr="00DD5C5F">
        <w:rPr>
          <w:rFonts w:ascii="Book Antiqua" w:hAnsi="Book Antiqua" w:cs="Tahoma"/>
          <w:sz w:val="24"/>
          <w:szCs w:val="24"/>
        </w:rPr>
        <w:t xml:space="preserve">said </w:t>
      </w:r>
      <w:r w:rsidR="004C2437" w:rsidRPr="00DD5C5F">
        <w:rPr>
          <w:rFonts w:ascii="Book Antiqua" w:hAnsi="Book Antiqua" w:cs="Tahoma"/>
          <w:sz w:val="24"/>
          <w:szCs w:val="24"/>
        </w:rPr>
        <w:t xml:space="preserve">that the idea of law not only </w:t>
      </w:r>
      <w:r w:rsidR="00201FA7" w:rsidRPr="00DD5C5F">
        <w:rPr>
          <w:rFonts w:ascii="Book Antiqua" w:hAnsi="Book Antiqua" w:cs="Tahoma"/>
          <w:sz w:val="24"/>
          <w:szCs w:val="24"/>
        </w:rPr>
        <w:t>serves</w:t>
      </w:r>
      <w:r w:rsidR="004C2437" w:rsidRPr="00DD5C5F">
        <w:rPr>
          <w:rFonts w:ascii="Book Antiqua" w:hAnsi="Book Antiqua" w:cs="Tahoma"/>
          <w:sz w:val="24"/>
          <w:szCs w:val="24"/>
        </w:rPr>
        <w:t xml:space="preserve"> as a benchmark that is regulative but also contitutive. That is, the mind of law not only serves to test whether the positive law in question is fair or not but to ensure that the law meets the legal mind because without the legal mind the law will lose its meaning</w:t>
      </w:r>
      <w:r w:rsidR="00AD0239" w:rsidRPr="00DD5C5F">
        <w:rPr>
          <w:rFonts w:ascii="Book Antiqua" w:hAnsi="Book Antiqua" w:cs="Tahoma"/>
          <w:sz w:val="24"/>
          <w:szCs w:val="24"/>
        </w:rPr>
        <w:t>as the next law</w:t>
      </w:r>
      <w:r w:rsidR="00A9164B">
        <w:rPr>
          <w:rFonts w:ascii="Book Antiqua" w:hAnsi="Book Antiqua" w:cs="Tahoma"/>
          <w:sz w:val="24"/>
          <w:szCs w:val="24"/>
        </w:rPr>
        <w:t>.</w:t>
      </w:r>
      <w:r w:rsidR="00A9164B">
        <w:rPr>
          <w:rStyle w:val="FootnoteReference"/>
          <w:rFonts w:ascii="Book Antiqua" w:hAnsi="Book Antiqua" w:cs="Tahoma"/>
          <w:sz w:val="24"/>
          <w:szCs w:val="24"/>
        </w:rPr>
        <w:footnoteReference w:id="1"/>
      </w:r>
      <w:r w:rsidR="00A9164B">
        <w:rPr>
          <w:rFonts w:ascii="Book Antiqua" w:hAnsi="Book Antiqua" w:cs="Tahoma"/>
          <w:sz w:val="24"/>
          <w:szCs w:val="24"/>
        </w:rPr>
        <w:t xml:space="preserve"> G</w:t>
      </w:r>
      <w:r w:rsidR="00AD0239" w:rsidRPr="00DD5C5F">
        <w:rPr>
          <w:rFonts w:ascii="Book Antiqua" w:hAnsi="Book Antiqua" w:cs="Tahoma"/>
          <w:sz w:val="24"/>
          <w:szCs w:val="24"/>
        </w:rPr>
        <w:t>ustav also states that legal certainty (</w:t>
      </w:r>
      <w:r w:rsidR="00AD0239" w:rsidRPr="00DD5C5F">
        <w:rPr>
          <w:rFonts w:ascii="Book Antiqua" w:hAnsi="Book Antiqua" w:cs="Tahoma"/>
          <w:i/>
          <w:sz w:val="24"/>
          <w:szCs w:val="24"/>
        </w:rPr>
        <w:t>rechtssicherkeit)</w:t>
      </w:r>
      <w:r w:rsidR="00AD0239" w:rsidRPr="00DD5C5F">
        <w:rPr>
          <w:rFonts w:ascii="Book Antiqua" w:hAnsi="Book Antiqua" w:cs="Tahoma"/>
          <w:sz w:val="24"/>
          <w:szCs w:val="24"/>
        </w:rPr>
        <w:t xml:space="preserve">, Justice </w:t>
      </w:r>
      <w:r w:rsidR="00AD0239" w:rsidRPr="00DD5C5F">
        <w:rPr>
          <w:rFonts w:ascii="Book Antiqua" w:hAnsi="Book Antiqua" w:cs="Tahoma"/>
          <w:i/>
          <w:sz w:val="24"/>
          <w:szCs w:val="24"/>
        </w:rPr>
        <w:t>(gerechtingkeit)</w:t>
      </w:r>
      <w:r w:rsidR="00AD0239" w:rsidRPr="00DD5C5F">
        <w:rPr>
          <w:rFonts w:ascii="Book Antiqua" w:hAnsi="Book Antiqua" w:cs="Tahoma"/>
          <w:sz w:val="24"/>
          <w:szCs w:val="24"/>
        </w:rPr>
        <w:t xml:space="preserve">and expediency </w:t>
      </w:r>
      <w:r w:rsidR="00AD0239" w:rsidRPr="00DD5C5F">
        <w:rPr>
          <w:rFonts w:ascii="Book Antiqua" w:hAnsi="Book Antiqua" w:cs="Tahoma"/>
          <w:i/>
          <w:sz w:val="24"/>
          <w:szCs w:val="24"/>
        </w:rPr>
        <w:t xml:space="preserve">(zweckmasigkeit) </w:t>
      </w:r>
      <w:r w:rsidR="00AD0239" w:rsidRPr="00DD5C5F">
        <w:rPr>
          <w:rFonts w:ascii="Book Antiqua" w:hAnsi="Book Antiqua" w:cs="Tahoma"/>
          <w:sz w:val="24"/>
          <w:szCs w:val="24"/>
        </w:rPr>
        <w:t>it is an element that the legal mind must exist proportionally</w:t>
      </w:r>
      <w:r w:rsidR="00E2014D" w:rsidRPr="00DD5C5F">
        <w:rPr>
          <w:rFonts w:ascii="Book Antiqua" w:hAnsi="Book Antiqua" w:cs="Tahoma"/>
          <w:sz w:val="24"/>
          <w:szCs w:val="24"/>
        </w:rPr>
        <w:t>.</w:t>
      </w:r>
      <w:r w:rsidR="00A9164B">
        <w:rPr>
          <w:rStyle w:val="FootnoteReference"/>
          <w:rFonts w:ascii="Book Antiqua" w:hAnsi="Book Antiqua" w:cs="Tahoma"/>
          <w:sz w:val="24"/>
          <w:szCs w:val="24"/>
        </w:rPr>
        <w:footnoteReference w:id="2"/>
      </w:r>
    </w:p>
    <w:p w14:paraId="09ED16AD" w14:textId="77777777" w:rsidR="00E37C6D" w:rsidRPr="00DD5C5F" w:rsidRDefault="00E37C6D" w:rsidP="00E37C6D">
      <w:pPr>
        <w:tabs>
          <w:tab w:val="left" w:pos="284"/>
          <w:tab w:val="left" w:pos="540"/>
        </w:tabs>
        <w:spacing w:after="0" w:line="240" w:lineRule="auto"/>
        <w:ind w:firstLine="709"/>
        <w:jc w:val="both"/>
        <w:rPr>
          <w:rFonts w:ascii="Book Antiqua" w:hAnsi="Book Antiqua" w:cs="Tahoma"/>
          <w:b/>
          <w:sz w:val="24"/>
          <w:szCs w:val="24"/>
        </w:rPr>
      </w:pPr>
    </w:p>
    <w:p w14:paraId="7BA26B14" w14:textId="711D9524" w:rsidR="00444214" w:rsidRPr="00DD5C5F" w:rsidRDefault="00444214" w:rsidP="007F449B">
      <w:pPr>
        <w:spacing w:after="0" w:line="240" w:lineRule="auto"/>
        <w:jc w:val="both"/>
        <w:rPr>
          <w:rFonts w:ascii="Book Antiqua" w:hAnsi="Book Antiqua"/>
          <w:b/>
          <w:bCs/>
          <w:sz w:val="24"/>
          <w:szCs w:val="28"/>
          <w:lang w:val="id-ID"/>
        </w:rPr>
      </w:pPr>
      <w:r w:rsidRPr="00DD5C5F">
        <w:rPr>
          <w:rFonts w:ascii="Book Antiqua" w:hAnsi="Book Antiqua"/>
          <w:b/>
          <w:bCs/>
          <w:sz w:val="24"/>
          <w:szCs w:val="28"/>
          <w:lang w:val="id-ID"/>
        </w:rPr>
        <w:t>2.</w:t>
      </w:r>
      <w:r w:rsidRPr="00DD5C5F">
        <w:rPr>
          <w:rFonts w:ascii="Book Antiqua" w:hAnsi="Book Antiqua"/>
          <w:b/>
          <w:bCs/>
          <w:sz w:val="24"/>
          <w:szCs w:val="28"/>
        </w:rPr>
        <w:t xml:space="preserve"> </w:t>
      </w:r>
      <w:r w:rsidRPr="00DD5C5F">
        <w:rPr>
          <w:rFonts w:ascii="Book Antiqua" w:hAnsi="Book Antiqua"/>
          <w:b/>
          <w:bCs/>
          <w:sz w:val="24"/>
          <w:szCs w:val="28"/>
          <w:lang w:val="id-ID"/>
        </w:rPr>
        <w:t>Research Method</w:t>
      </w:r>
    </w:p>
    <w:p w14:paraId="16EF884E" w14:textId="4040370F" w:rsidR="00E37C6D" w:rsidRPr="00DD5C5F" w:rsidRDefault="00551D70" w:rsidP="00A9164B">
      <w:pPr>
        <w:pStyle w:val="NormalWeb"/>
        <w:spacing w:before="0" w:beforeAutospacing="0" w:after="0" w:afterAutospacing="0"/>
        <w:ind w:firstLine="851"/>
        <w:jc w:val="both"/>
        <w:rPr>
          <w:rFonts w:ascii="Book Antiqua" w:hAnsi="Book Antiqua" w:cs="Tahoma"/>
        </w:rPr>
      </w:pPr>
      <w:r w:rsidRPr="00DD5C5F">
        <w:rPr>
          <w:rFonts w:ascii="Book Antiqua" w:hAnsi="Book Antiqua" w:cs="Tahoma"/>
        </w:rPr>
        <w:t>Unlike the</w:t>
      </w:r>
      <w:r w:rsidR="0097196F" w:rsidRPr="00DD5C5F">
        <w:rPr>
          <w:rFonts w:ascii="Book Antiqua" w:hAnsi="Book Antiqua" w:cs="Tahoma"/>
        </w:rPr>
        <w:t xml:space="preserve">previous research which focused on the exposure of the juridical implications </w:t>
      </w:r>
      <w:r w:rsidRPr="00DD5C5F">
        <w:rPr>
          <w:rFonts w:ascii="Book Antiqua" w:hAnsi="Book Antiqua" w:cs="Tahoma"/>
        </w:rPr>
        <w:t>of the Constitutional Court decision Number 18/PUU-XVII/2019</w:t>
      </w:r>
      <w:r w:rsidR="0097196F" w:rsidRPr="00DD5C5F">
        <w:rPr>
          <w:rFonts w:ascii="Book Antiqua" w:hAnsi="Book Antiqua" w:cs="Tahoma"/>
        </w:rPr>
        <w:t xml:space="preserve">, in this study will show the degradation of executorial rights </w:t>
      </w:r>
      <w:r w:rsidR="00747A22" w:rsidRPr="00DD5C5F">
        <w:rPr>
          <w:rFonts w:ascii="Book Antiqua" w:hAnsi="Book Antiqua" w:cs="Tahoma"/>
        </w:rPr>
        <w:t>and</w:t>
      </w:r>
      <w:r w:rsidR="0097196F" w:rsidRPr="00DD5C5F">
        <w:rPr>
          <w:rFonts w:ascii="Book Antiqua" w:hAnsi="Book Antiqua" w:cs="Tahoma"/>
        </w:rPr>
        <w:t xml:space="preserve"> executive parate institutions</w:t>
      </w:r>
      <w:r w:rsidR="00747A22" w:rsidRPr="00DD5C5F">
        <w:rPr>
          <w:rFonts w:ascii="Book Antiqua" w:hAnsi="Book Antiqua" w:cs="Tahoma"/>
        </w:rPr>
        <w:t xml:space="preserve">si </w:t>
      </w:r>
      <w:r w:rsidR="008921E5" w:rsidRPr="00DD5C5F">
        <w:rPr>
          <w:rFonts w:ascii="Book Antiqua" w:hAnsi="Book Antiqua" w:cs="Tahoma"/>
        </w:rPr>
        <w:t xml:space="preserve">and the promise injury clause in fiduciary security to see their respective positions </w:t>
      </w:r>
      <w:r w:rsidRPr="00DD5C5F">
        <w:rPr>
          <w:rFonts w:ascii="Book Antiqua" w:hAnsi="Book Antiqua" w:cs="Tahoma"/>
        </w:rPr>
        <w:t xml:space="preserve">in fiduciary security to be analyzed </w:t>
      </w:r>
      <w:r w:rsidR="008921E5" w:rsidRPr="00DD5C5F">
        <w:rPr>
          <w:rFonts w:ascii="Book Antiqua" w:hAnsi="Book Antiqua" w:cs="Tahoma"/>
        </w:rPr>
        <w:t xml:space="preserve">based on the cita hukum approach (idee des recht) or legal purposes. </w:t>
      </w:r>
      <w:r w:rsidR="00375AAE" w:rsidRPr="00DD5C5F">
        <w:rPr>
          <w:rFonts w:ascii="Book Antiqua" w:hAnsi="Book Antiqua" w:cs="Tahoma"/>
        </w:rPr>
        <w:t xml:space="preserve">With the approach of cita hukum, it will be seen whether the decision has fulfilled the legal certainty, justice and expediency. These three goals of law are the general principles in the formation of legislation. therefore, </w:t>
      </w:r>
      <w:r w:rsidR="008921E5" w:rsidRPr="00DD5C5F">
        <w:rPr>
          <w:rFonts w:ascii="Book Antiqua" w:hAnsi="Book Antiqua" w:cs="Tahoma"/>
        </w:rPr>
        <w:t xml:space="preserve">this study will be able to add </w:t>
      </w:r>
      <w:r w:rsidR="004C2437" w:rsidRPr="00DD5C5F">
        <w:rPr>
          <w:rFonts w:ascii="Book Antiqua" w:hAnsi="Book Antiqua" w:cs="Tahoma"/>
        </w:rPr>
        <w:t xml:space="preserve">material for the renewal of fiduciary security in Indonesia. </w:t>
      </w:r>
    </w:p>
    <w:p w14:paraId="7DC1E6EC" w14:textId="77777777" w:rsidR="00444214" w:rsidRPr="00DD5C5F" w:rsidRDefault="00444214" w:rsidP="00E37C6D">
      <w:pPr>
        <w:spacing w:after="0" w:line="240" w:lineRule="auto"/>
        <w:jc w:val="both"/>
        <w:rPr>
          <w:rFonts w:ascii="Book Antiqua" w:hAnsi="Book Antiqua"/>
          <w:b/>
          <w:bCs/>
          <w:sz w:val="24"/>
          <w:szCs w:val="28"/>
          <w:lang w:val="id-ID"/>
        </w:rPr>
      </w:pPr>
      <w:r w:rsidRPr="00DD5C5F">
        <w:rPr>
          <w:rFonts w:ascii="Book Antiqua" w:hAnsi="Book Antiqua"/>
          <w:b/>
          <w:bCs/>
          <w:sz w:val="24"/>
          <w:szCs w:val="28"/>
          <w:lang w:val="id-ID"/>
        </w:rPr>
        <w:t>3. Results and Discussion</w:t>
      </w:r>
    </w:p>
    <w:bookmarkEnd w:id="1"/>
    <w:p w14:paraId="52070572" w14:textId="77777777" w:rsidR="003A1996" w:rsidRPr="00DD5C5F" w:rsidRDefault="00167579" w:rsidP="005271FF">
      <w:pPr>
        <w:tabs>
          <w:tab w:val="left" w:pos="426"/>
        </w:tabs>
        <w:spacing w:after="0" w:line="240" w:lineRule="auto"/>
        <w:ind w:right="1"/>
        <w:jc w:val="both"/>
        <w:rPr>
          <w:rFonts w:ascii="Book Antiqua" w:hAnsi="Book Antiqua" w:cs="Tahoma"/>
          <w:b/>
          <w:noProof/>
          <w:sz w:val="24"/>
          <w:szCs w:val="24"/>
          <w:lang w:val="id-ID"/>
        </w:rPr>
      </w:pPr>
      <w:r w:rsidRPr="00DD5C5F">
        <w:rPr>
          <w:rFonts w:ascii="Book Antiqua" w:hAnsi="Book Antiqua" w:cs="Tahoma"/>
          <w:b/>
          <w:noProof/>
          <w:sz w:val="24"/>
          <w:szCs w:val="24"/>
        </w:rPr>
        <w:t>Degradation of Executorial rights and execution Parate institutions on</w:t>
      </w:r>
      <w:r w:rsidR="00F72CF4" w:rsidRPr="00DD5C5F">
        <w:rPr>
          <w:rFonts w:ascii="Book Antiqua" w:hAnsi="Book Antiqua" w:cs="Tahoma"/>
          <w:b/>
          <w:noProof/>
          <w:sz w:val="24"/>
          <w:szCs w:val="24"/>
        </w:rPr>
        <w:t xml:space="preserve"> fiduciary security after </w:t>
      </w:r>
      <w:r w:rsidR="003A1996" w:rsidRPr="00DD5C5F">
        <w:rPr>
          <w:rFonts w:ascii="Book Antiqua" w:hAnsi="Book Antiqua" w:cs="Tahoma"/>
          <w:b/>
          <w:noProof/>
          <w:sz w:val="24"/>
          <w:szCs w:val="24"/>
        </w:rPr>
        <w:t>Constitutional Court decision Number 18/Puu-Xvii/2019</w:t>
      </w:r>
    </w:p>
    <w:p w14:paraId="7268B6BC" w14:textId="77777777" w:rsidR="00D85ABA" w:rsidRPr="00DD5C5F" w:rsidRDefault="00D85ABA" w:rsidP="005271FF">
      <w:pPr>
        <w:pStyle w:val="ListParagraph"/>
        <w:numPr>
          <w:ilvl w:val="0"/>
          <w:numId w:val="21"/>
        </w:numPr>
        <w:ind w:left="284" w:right="1" w:hanging="284"/>
        <w:jc w:val="both"/>
        <w:rPr>
          <w:rFonts w:ascii="Book Antiqua" w:hAnsi="Book Antiqua" w:cs="Tahoma"/>
          <w:b/>
          <w:noProof/>
          <w:sz w:val="24"/>
          <w:szCs w:val="24"/>
          <w:lang w:val="id-ID"/>
        </w:rPr>
      </w:pPr>
      <w:r w:rsidRPr="00DD5C5F">
        <w:rPr>
          <w:rFonts w:ascii="Book Antiqua" w:hAnsi="Book Antiqua" w:cs="Tahoma"/>
          <w:b/>
          <w:noProof/>
          <w:sz w:val="24"/>
          <w:szCs w:val="24"/>
        </w:rPr>
        <w:t xml:space="preserve">The Nature Of The Position Of Executorial Rights, Execution Parate And Promise Injury Clause In </w:t>
      </w:r>
      <w:r w:rsidR="007C2FF0" w:rsidRPr="00DD5C5F">
        <w:rPr>
          <w:rFonts w:ascii="Book Antiqua" w:hAnsi="Book Antiqua" w:cs="Tahoma"/>
          <w:b/>
          <w:noProof/>
          <w:sz w:val="24"/>
          <w:szCs w:val="24"/>
        </w:rPr>
        <w:t xml:space="preserve">Aturan </w:t>
      </w:r>
      <w:r w:rsidRPr="00DD5C5F">
        <w:rPr>
          <w:rFonts w:ascii="Book Antiqua" w:hAnsi="Book Antiqua" w:cs="Tahoma"/>
          <w:b/>
          <w:noProof/>
          <w:sz w:val="24"/>
          <w:szCs w:val="24"/>
        </w:rPr>
        <w:t>Fiduciary Security Rules</w:t>
      </w:r>
      <w:r w:rsidRPr="00DD5C5F">
        <w:rPr>
          <w:rFonts w:ascii="Book Antiqua" w:hAnsi="Book Antiqua" w:cs="Tahoma"/>
          <w:b/>
          <w:noProof/>
          <w:sz w:val="24"/>
          <w:szCs w:val="24"/>
          <w:lang w:val="id-ID"/>
        </w:rPr>
        <w:t xml:space="preserve"> </w:t>
      </w:r>
    </w:p>
    <w:p w14:paraId="36373FB6" w14:textId="56747046" w:rsidR="00D85ABA" w:rsidRPr="00DD5C5F" w:rsidRDefault="00D85ABA" w:rsidP="005271FF">
      <w:pPr>
        <w:spacing w:after="0" w:line="240" w:lineRule="auto"/>
        <w:ind w:right="1" w:firstLine="567"/>
        <w:jc w:val="both"/>
        <w:rPr>
          <w:rFonts w:ascii="Book Antiqua" w:hAnsi="Book Antiqua" w:cs="Tahoma"/>
          <w:noProof/>
          <w:sz w:val="24"/>
          <w:szCs w:val="24"/>
        </w:rPr>
      </w:pPr>
      <w:r w:rsidRPr="00DD5C5F">
        <w:rPr>
          <w:rFonts w:ascii="Book Antiqua" w:hAnsi="Book Antiqua" w:cs="Tahoma"/>
          <w:noProof/>
          <w:sz w:val="24"/>
          <w:szCs w:val="24"/>
        </w:rPr>
        <w:t xml:space="preserve">Execution means carrying out a judgment. Yahya harahap said that execution </w:t>
      </w:r>
      <w:r w:rsidR="00F474CE" w:rsidRPr="00DD5C5F">
        <w:rPr>
          <w:rFonts w:ascii="Book Antiqua" w:hAnsi="Book Antiqua" w:cs="Tahoma"/>
          <w:noProof/>
          <w:sz w:val="24"/>
          <w:szCs w:val="24"/>
        </w:rPr>
        <w:t xml:space="preserve">means forcibly executing a court decision with general power if the losing party (executed) does not execute voluntarily </w:t>
      </w:r>
      <w:r w:rsidR="00F474CE" w:rsidRPr="00DD5C5F">
        <w:rPr>
          <w:rFonts w:ascii="Book Antiqua" w:hAnsi="Book Antiqua" w:cs="Tahoma"/>
          <w:i/>
          <w:noProof/>
          <w:sz w:val="24"/>
          <w:szCs w:val="24"/>
        </w:rPr>
        <w:t>(vrijwilling)</w:t>
      </w:r>
      <w:r w:rsidRPr="00DD5C5F">
        <w:rPr>
          <w:rFonts w:ascii="Book Antiqua" w:hAnsi="Book Antiqua" w:cs="Tahoma"/>
          <w:noProof/>
          <w:sz w:val="24"/>
          <w:szCs w:val="24"/>
        </w:rPr>
        <w:t>.</w:t>
      </w:r>
      <w:r w:rsidR="00E300C2">
        <w:rPr>
          <w:rStyle w:val="FootnoteReference"/>
          <w:rFonts w:ascii="Book Antiqua" w:hAnsi="Book Antiqua" w:cs="Tahoma"/>
          <w:noProof/>
          <w:sz w:val="24"/>
          <w:szCs w:val="24"/>
        </w:rPr>
        <w:footnoteReference w:id="3"/>
      </w:r>
      <w:r w:rsidR="00E300C2" w:rsidRPr="00DD5C5F">
        <w:rPr>
          <w:rFonts w:ascii="Book Antiqua" w:hAnsi="Book Antiqua" w:cs="Tahoma"/>
          <w:noProof/>
          <w:sz w:val="24"/>
          <w:szCs w:val="24"/>
        </w:rPr>
        <w:t xml:space="preserve"> </w:t>
      </w:r>
      <w:r w:rsidRPr="00DD5C5F">
        <w:rPr>
          <w:rFonts w:ascii="Book Antiqua" w:hAnsi="Book Antiqua" w:cs="Tahoma"/>
          <w:noProof/>
          <w:sz w:val="24"/>
          <w:szCs w:val="24"/>
        </w:rPr>
        <w:t>In essence, the execution of mer</w:t>
      </w:r>
      <w:r w:rsidR="009C3B3A" w:rsidRPr="00DD5C5F">
        <w:rPr>
          <w:rFonts w:ascii="Book Antiqua" w:hAnsi="Book Antiqua" w:cs="Tahoma"/>
          <w:noProof/>
          <w:sz w:val="24"/>
          <w:szCs w:val="24"/>
        </w:rPr>
        <w:t>is the realization of the obligations</w:t>
      </w:r>
      <w:r w:rsidRPr="00DD5C5F">
        <w:rPr>
          <w:rFonts w:ascii="Book Antiqua" w:hAnsi="Book Antiqua" w:cs="Tahoma"/>
          <w:noProof/>
          <w:sz w:val="24"/>
          <w:szCs w:val="24"/>
        </w:rPr>
        <w:t xml:space="preserve"> of the defeated party in a judge's decision that has permanent legal force to fulfill the achievement. The winning party may request a charge to enforce the judgment by force (</w:t>
      </w:r>
      <w:r w:rsidRPr="00DD5C5F">
        <w:rPr>
          <w:rFonts w:ascii="Book Antiqua" w:hAnsi="Book Antiqua" w:cs="Tahoma"/>
          <w:i/>
          <w:noProof/>
          <w:sz w:val="24"/>
          <w:szCs w:val="24"/>
        </w:rPr>
        <w:t>execution force</w:t>
      </w:r>
      <w:r w:rsidRPr="00DD5C5F">
        <w:rPr>
          <w:rFonts w:ascii="Book Antiqua" w:hAnsi="Book Antiqua" w:cs="Tahoma"/>
          <w:noProof/>
          <w:sz w:val="24"/>
          <w:szCs w:val="24"/>
        </w:rPr>
        <w:t>).</w:t>
      </w:r>
      <w:r w:rsidR="006D15DB">
        <w:rPr>
          <w:rStyle w:val="FootnoteReference"/>
          <w:rFonts w:ascii="Book Antiqua" w:hAnsi="Book Antiqua" w:cs="Tahoma"/>
          <w:noProof/>
          <w:sz w:val="24"/>
          <w:szCs w:val="24"/>
        </w:rPr>
        <w:footnoteReference w:id="4"/>
      </w:r>
    </w:p>
    <w:p w14:paraId="0093F4E0" w14:textId="77777777" w:rsidR="00D85ABA" w:rsidRPr="00DD5C5F" w:rsidRDefault="00D85ABA" w:rsidP="005271FF">
      <w:pPr>
        <w:spacing w:after="0" w:line="240" w:lineRule="auto"/>
        <w:ind w:right="1" w:firstLine="567"/>
        <w:jc w:val="both"/>
        <w:rPr>
          <w:rFonts w:ascii="Book Antiqua" w:hAnsi="Book Antiqua" w:cs="Tahoma"/>
          <w:noProof/>
          <w:sz w:val="24"/>
          <w:szCs w:val="24"/>
        </w:rPr>
      </w:pPr>
      <w:r w:rsidRPr="00DD5C5F">
        <w:rPr>
          <w:rFonts w:ascii="Book Antiqua" w:hAnsi="Book Antiqua" w:cs="Tahoma"/>
          <w:noProof/>
          <w:sz w:val="24"/>
          <w:szCs w:val="24"/>
        </w:rPr>
        <w:t>Execution is generally regulated in HIR or RBG which is a provision that is not separate from the provisions of the proceedings. The regulation</w:t>
      </w:r>
      <w:r w:rsidR="00DB5713" w:rsidRPr="00DD5C5F">
        <w:rPr>
          <w:rFonts w:ascii="Book Antiqua" w:hAnsi="Book Antiqua" w:cs="Tahoma"/>
          <w:noProof/>
          <w:sz w:val="24"/>
          <w:szCs w:val="24"/>
        </w:rPr>
        <w:t xml:space="preserve">is contained in Article ut </w:t>
      </w:r>
      <w:r w:rsidR="009C3B3A" w:rsidRPr="00DD5C5F">
        <w:rPr>
          <w:rFonts w:ascii="Book Antiqua" w:hAnsi="Book Antiqua" w:cs="Tahoma"/>
          <w:noProof/>
          <w:sz w:val="24"/>
          <w:szCs w:val="24"/>
        </w:rPr>
        <w:t>195 to Article 208 and Article 224 HIR or article 206 to Article 240 and Article 258 RBG.</w:t>
      </w:r>
      <w:r w:rsidRPr="00DD5C5F">
        <w:rPr>
          <w:rFonts w:ascii="Book Antiqua" w:hAnsi="Book Antiqua" w:cs="Tahoma"/>
          <w:noProof/>
          <w:sz w:val="24"/>
          <w:szCs w:val="24"/>
        </w:rPr>
        <w:t xml:space="preserve"> In our national law the execution regulation has been regulated in general 33 paragraphs (3) and (4) of Law No. 14 of 1970 jo Law Number 4 of 2004 on Judicial Power. Execution rules are also associated with other rules that are scattered in special rules that contain the authority of execution as in law no.4 of 1996 on mortgage Rights, Law No.49 Prp/1960 on PUPN and Law No.42 of 1999 on fiduciary security. </w:t>
      </w:r>
    </w:p>
    <w:p w14:paraId="4725DAFD" w14:textId="3ACD3FE0" w:rsidR="00D85ABA" w:rsidRPr="00DD5C5F" w:rsidRDefault="00D85ABA" w:rsidP="005271FF">
      <w:pPr>
        <w:spacing w:after="0" w:line="240" w:lineRule="auto"/>
        <w:ind w:right="1" w:firstLine="567"/>
        <w:jc w:val="both"/>
        <w:rPr>
          <w:rFonts w:ascii="Book Antiqua" w:hAnsi="Book Antiqua" w:cs="Tahoma"/>
          <w:noProof/>
          <w:sz w:val="24"/>
          <w:szCs w:val="24"/>
        </w:rPr>
      </w:pPr>
      <w:r w:rsidRPr="00DD5C5F">
        <w:rPr>
          <w:rFonts w:ascii="Book Antiqua" w:hAnsi="Book Antiqua" w:cs="Tahoma"/>
          <w:noProof/>
          <w:sz w:val="24"/>
          <w:szCs w:val="24"/>
        </w:rPr>
        <w:t>Neither the actual execution nor the execution of carrying out an act has any difference. This means that the execution of carrying out an act is also a real execution. The execution of rii</w:t>
      </w:r>
      <w:r w:rsidR="00862C6A" w:rsidRPr="00DD5C5F">
        <w:rPr>
          <w:rFonts w:ascii="Book Antiqua" w:hAnsi="Book Antiqua" w:cs="Tahoma"/>
          <w:noProof/>
          <w:sz w:val="24"/>
          <w:szCs w:val="24"/>
        </w:rPr>
        <w:t>l</w:t>
      </w:r>
      <w:r w:rsidRPr="00DD5C5F">
        <w:rPr>
          <w:rFonts w:ascii="Book Antiqua" w:hAnsi="Book Antiqua" w:cs="Tahoma"/>
          <w:noProof/>
          <w:sz w:val="24"/>
          <w:szCs w:val="24"/>
        </w:rPr>
        <w:t xml:space="preserve"> can only occur based on a court decision that has permanent legal force and is immediate, in the form of provisions and in the form of a peace deed at the trial while the execution of a payment of a certain amount of money can be based on a court decision and can also be based on a certain deed. The deed is a deed that is equated with a court decision that has permanent legal force.</w:t>
      </w:r>
      <w:r w:rsidR="006D15DB">
        <w:rPr>
          <w:rStyle w:val="FootnoteReference"/>
          <w:rFonts w:ascii="Book Antiqua" w:hAnsi="Book Antiqua" w:cs="Tahoma"/>
          <w:noProof/>
          <w:sz w:val="24"/>
          <w:szCs w:val="24"/>
        </w:rPr>
        <w:footnoteReference w:id="5"/>
      </w:r>
    </w:p>
    <w:p w14:paraId="124EFCCC" w14:textId="7E253987" w:rsidR="00D85ABA" w:rsidRPr="00DD5C5F" w:rsidRDefault="00D85ABA" w:rsidP="005271FF">
      <w:pPr>
        <w:spacing w:after="0" w:line="240" w:lineRule="auto"/>
        <w:ind w:right="1" w:firstLine="567"/>
        <w:jc w:val="both"/>
        <w:rPr>
          <w:rFonts w:ascii="Book Antiqua" w:hAnsi="Book Antiqua" w:cs="Tahoma"/>
          <w:noProof/>
          <w:sz w:val="24"/>
          <w:szCs w:val="24"/>
        </w:rPr>
      </w:pPr>
      <w:r w:rsidRPr="00DD5C5F">
        <w:rPr>
          <w:rFonts w:ascii="Book Antiqua" w:hAnsi="Book Antiqua" w:cs="Tahoma"/>
          <w:noProof/>
          <w:sz w:val="24"/>
          <w:szCs w:val="24"/>
        </w:rPr>
        <w:t xml:space="preserve">Execution can only be carried out when the court decision has acquired permanent legal force </w:t>
      </w:r>
      <w:r w:rsidRPr="00DD5C5F">
        <w:rPr>
          <w:rFonts w:ascii="Book Antiqua" w:hAnsi="Book Antiqua" w:cs="Tahoma"/>
          <w:i/>
          <w:noProof/>
          <w:sz w:val="24"/>
          <w:szCs w:val="24"/>
        </w:rPr>
        <w:t>(inkracht van gewijsde</w:t>
      </w:r>
      <w:r w:rsidRPr="00DD5C5F">
        <w:rPr>
          <w:rFonts w:ascii="Book Antiqua" w:hAnsi="Book Antiqua" w:cs="Tahoma"/>
          <w:noProof/>
          <w:sz w:val="24"/>
          <w:szCs w:val="24"/>
        </w:rPr>
        <w:t>). This is the</w:t>
      </w:r>
      <w:r w:rsidRPr="00DD5C5F">
        <w:rPr>
          <w:rFonts w:ascii="Book Antiqua" w:hAnsi="Book Antiqua" w:cs="Tahoma"/>
          <w:i/>
          <w:noProof/>
          <w:sz w:val="24"/>
          <w:szCs w:val="24"/>
        </w:rPr>
        <w:t>general rule</w:t>
      </w:r>
      <w:r w:rsidRPr="00DD5C5F">
        <w:rPr>
          <w:rFonts w:ascii="Book Antiqua" w:hAnsi="Book Antiqua" w:cs="Tahoma"/>
          <w:noProof/>
          <w:sz w:val="24"/>
          <w:szCs w:val="24"/>
        </w:rPr>
        <w:t xml:space="preserve">of exception. The verdict is also condemnatory. The decision of the condemnator is a decision that is “punitive". The judgment of the condemnator has a characteristic feature in </w:t>
      </w:r>
      <w:r w:rsidR="00862C6A" w:rsidRPr="00DD5C5F">
        <w:rPr>
          <w:rFonts w:ascii="Book Antiqua" w:hAnsi="Book Antiqua" w:cs="Tahoma"/>
          <w:noProof/>
          <w:sz w:val="24"/>
          <w:szCs w:val="24"/>
        </w:rPr>
        <w:t>the</w:t>
      </w:r>
      <w:r w:rsidRPr="00DD5C5F">
        <w:rPr>
          <w:rFonts w:ascii="Book Antiqua" w:hAnsi="Book Antiqua" w:cs="Tahoma"/>
          <w:noProof/>
          <w:sz w:val="24"/>
          <w:szCs w:val="24"/>
        </w:rPr>
        <w:t>statement of condemnation to commit one of the following acts:</w:t>
      </w:r>
      <w:r w:rsidR="006D15DB">
        <w:rPr>
          <w:rStyle w:val="FootnoteReference"/>
          <w:rFonts w:ascii="Book Antiqua" w:hAnsi="Book Antiqua" w:cs="Tahoma"/>
          <w:noProof/>
          <w:sz w:val="24"/>
          <w:szCs w:val="24"/>
        </w:rPr>
        <w:footnoteReference w:id="6"/>
      </w:r>
      <w:r w:rsidRPr="00DD5C5F">
        <w:rPr>
          <w:rFonts w:ascii="Book Antiqua" w:hAnsi="Book Antiqua" w:cs="Tahoma"/>
          <w:noProof/>
          <w:sz w:val="24"/>
          <w:szCs w:val="24"/>
        </w:rPr>
        <w:t xml:space="preserve"> </w:t>
      </w:r>
    </w:p>
    <w:p w14:paraId="7B44D7BA" w14:textId="77777777" w:rsidR="00D85ABA" w:rsidRPr="00DD5C5F" w:rsidRDefault="00D85ABA" w:rsidP="007F449B">
      <w:pPr>
        <w:pStyle w:val="ListParagraph"/>
        <w:numPr>
          <w:ilvl w:val="0"/>
          <w:numId w:val="7"/>
        </w:numPr>
        <w:tabs>
          <w:tab w:val="left" w:pos="851"/>
        </w:tabs>
        <w:ind w:left="1134" w:right="1" w:hanging="283"/>
        <w:jc w:val="both"/>
        <w:rPr>
          <w:rFonts w:ascii="Book Antiqua" w:hAnsi="Book Antiqua" w:cs="Tahoma"/>
          <w:noProof/>
          <w:sz w:val="24"/>
          <w:szCs w:val="24"/>
        </w:rPr>
      </w:pPr>
      <w:r w:rsidRPr="00DD5C5F">
        <w:rPr>
          <w:rFonts w:ascii="Book Antiqua" w:hAnsi="Book Antiqua" w:cs="Tahoma"/>
          <w:noProof/>
          <w:sz w:val="24"/>
          <w:szCs w:val="24"/>
        </w:rPr>
        <w:t>Handing over an item</w:t>
      </w:r>
    </w:p>
    <w:p w14:paraId="1B14EE90" w14:textId="77777777" w:rsidR="00D85ABA" w:rsidRPr="00DD5C5F" w:rsidRDefault="00D85ABA" w:rsidP="007F449B">
      <w:pPr>
        <w:pStyle w:val="ListParagraph"/>
        <w:numPr>
          <w:ilvl w:val="0"/>
          <w:numId w:val="7"/>
        </w:numPr>
        <w:tabs>
          <w:tab w:val="left" w:pos="851"/>
        </w:tabs>
        <w:ind w:left="1134" w:right="1" w:hanging="283"/>
        <w:jc w:val="both"/>
        <w:rPr>
          <w:rFonts w:ascii="Book Antiqua" w:hAnsi="Book Antiqua" w:cs="Tahoma"/>
          <w:noProof/>
          <w:sz w:val="24"/>
          <w:szCs w:val="24"/>
        </w:rPr>
      </w:pPr>
      <w:r w:rsidRPr="00DD5C5F">
        <w:rPr>
          <w:rFonts w:ascii="Book Antiqua" w:hAnsi="Book Antiqua" w:cs="Tahoma"/>
          <w:noProof/>
          <w:sz w:val="24"/>
          <w:szCs w:val="24"/>
        </w:rPr>
        <w:t>Vacate a plot of land or a house</w:t>
      </w:r>
    </w:p>
    <w:p w14:paraId="0D10C4AF" w14:textId="77777777" w:rsidR="00D85ABA" w:rsidRPr="00DD5C5F" w:rsidRDefault="00D85ABA" w:rsidP="007F449B">
      <w:pPr>
        <w:pStyle w:val="ListParagraph"/>
        <w:numPr>
          <w:ilvl w:val="0"/>
          <w:numId w:val="7"/>
        </w:numPr>
        <w:tabs>
          <w:tab w:val="left" w:pos="851"/>
        </w:tabs>
        <w:ind w:left="1134" w:right="1" w:hanging="283"/>
        <w:jc w:val="both"/>
        <w:rPr>
          <w:rFonts w:ascii="Book Antiqua" w:hAnsi="Book Antiqua" w:cs="Tahoma"/>
          <w:noProof/>
          <w:sz w:val="24"/>
          <w:szCs w:val="24"/>
        </w:rPr>
      </w:pPr>
      <w:r w:rsidRPr="00DD5C5F">
        <w:rPr>
          <w:rFonts w:ascii="Book Antiqua" w:hAnsi="Book Antiqua" w:cs="Tahoma"/>
          <w:noProof/>
          <w:sz w:val="24"/>
          <w:szCs w:val="24"/>
        </w:rPr>
        <w:t>Doing a certain act</w:t>
      </w:r>
    </w:p>
    <w:p w14:paraId="57563428" w14:textId="77777777" w:rsidR="00D85ABA" w:rsidRPr="00DD5C5F" w:rsidRDefault="00D85ABA" w:rsidP="007F449B">
      <w:pPr>
        <w:pStyle w:val="ListParagraph"/>
        <w:numPr>
          <w:ilvl w:val="0"/>
          <w:numId w:val="7"/>
        </w:numPr>
        <w:tabs>
          <w:tab w:val="left" w:pos="851"/>
        </w:tabs>
        <w:ind w:left="1134" w:right="1" w:hanging="283"/>
        <w:jc w:val="both"/>
        <w:rPr>
          <w:rFonts w:ascii="Book Antiqua" w:hAnsi="Book Antiqua" w:cs="Tahoma"/>
          <w:noProof/>
          <w:sz w:val="24"/>
          <w:szCs w:val="24"/>
        </w:rPr>
      </w:pPr>
      <w:r w:rsidRPr="00DD5C5F">
        <w:rPr>
          <w:rFonts w:ascii="Book Antiqua" w:hAnsi="Book Antiqua" w:cs="Tahoma"/>
          <w:noProof/>
          <w:sz w:val="24"/>
          <w:szCs w:val="24"/>
        </w:rPr>
        <w:t>Stopping an act or situation</w:t>
      </w:r>
    </w:p>
    <w:p w14:paraId="211BC06B" w14:textId="77777777" w:rsidR="00D85ABA" w:rsidRPr="00DD5C5F" w:rsidRDefault="00D85ABA" w:rsidP="007F449B">
      <w:pPr>
        <w:pStyle w:val="ListParagraph"/>
        <w:numPr>
          <w:ilvl w:val="0"/>
          <w:numId w:val="7"/>
        </w:numPr>
        <w:tabs>
          <w:tab w:val="left" w:pos="851"/>
        </w:tabs>
        <w:ind w:left="1134" w:right="1" w:hanging="283"/>
        <w:jc w:val="both"/>
        <w:rPr>
          <w:rFonts w:ascii="Book Antiqua" w:hAnsi="Book Antiqua" w:cs="Tahoma"/>
          <w:noProof/>
          <w:sz w:val="24"/>
          <w:szCs w:val="24"/>
        </w:rPr>
      </w:pPr>
      <w:r w:rsidRPr="00DD5C5F">
        <w:rPr>
          <w:rFonts w:ascii="Book Antiqua" w:hAnsi="Book Antiqua" w:cs="Tahoma"/>
          <w:noProof/>
          <w:sz w:val="24"/>
          <w:szCs w:val="24"/>
        </w:rPr>
        <w:t>Pay some money.</w:t>
      </w:r>
    </w:p>
    <w:p w14:paraId="40B19333" w14:textId="77777777" w:rsidR="00D85ABA" w:rsidRPr="00DD5C5F" w:rsidRDefault="00D85ABA" w:rsidP="005271FF">
      <w:pPr>
        <w:spacing w:after="0" w:line="240" w:lineRule="auto"/>
        <w:ind w:right="1" w:firstLine="567"/>
        <w:jc w:val="both"/>
        <w:rPr>
          <w:rFonts w:ascii="Book Antiqua" w:hAnsi="Book Antiqua" w:cs="Tahoma"/>
          <w:noProof/>
          <w:sz w:val="24"/>
          <w:szCs w:val="24"/>
        </w:rPr>
      </w:pPr>
      <w:r w:rsidRPr="00DD5C5F">
        <w:rPr>
          <w:rFonts w:ascii="Book Antiqua" w:hAnsi="Book Antiqua" w:cs="Tahoma"/>
          <w:noProof/>
          <w:sz w:val="24"/>
          <w:szCs w:val="24"/>
        </w:rPr>
        <w:t xml:space="preserve">Each decision of this condemnator by itself has executorial power (it can be implemented by force by the general power). In addition to the two things above, the third condition is that the decision must not be carried out voluntarily. A new execution will appear if the defendant does not execute the verdict voluntarily. </w:t>
      </w:r>
    </w:p>
    <w:p w14:paraId="7768EC8E" w14:textId="4BB82A96" w:rsidR="00D85ABA" w:rsidRPr="00DD5C5F" w:rsidRDefault="00D85ABA" w:rsidP="005271FF">
      <w:pPr>
        <w:spacing w:after="0" w:line="240" w:lineRule="auto"/>
        <w:ind w:right="1" w:firstLine="567"/>
        <w:jc w:val="both"/>
        <w:rPr>
          <w:rFonts w:ascii="Book Antiqua" w:hAnsi="Book Antiqua" w:cs="Tahoma"/>
          <w:noProof/>
          <w:sz w:val="24"/>
          <w:szCs w:val="24"/>
        </w:rPr>
      </w:pPr>
      <w:r w:rsidRPr="00DD5C5F">
        <w:rPr>
          <w:rFonts w:ascii="Book Antiqua" w:hAnsi="Book Antiqua" w:cs="Tahoma"/>
          <w:noProof/>
          <w:sz w:val="24"/>
          <w:szCs w:val="24"/>
        </w:rPr>
        <w:t>In relation to fiduciary security, the execution of fiduciary security is an exception to the general principle of execution. that is, there are times when executions are carried out not in order to implement a court decision but to carry out the implementation of the form of a product that is “equated” by law with a decision that has gained permanent legal force.</w:t>
      </w:r>
      <w:r w:rsidR="006D15DB">
        <w:rPr>
          <w:rStyle w:val="FootnoteReference"/>
          <w:rFonts w:ascii="Book Antiqua" w:hAnsi="Book Antiqua" w:cs="Tahoma"/>
          <w:noProof/>
          <w:sz w:val="24"/>
          <w:szCs w:val="24"/>
        </w:rPr>
        <w:footnoteReference w:id="7"/>
      </w:r>
      <w:r w:rsidRPr="00DD5C5F">
        <w:rPr>
          <w:rFonts w:ascii="Book Antiqua" w:hAnsi="Book Antiqua" w:cs="Tahoma"/>
          <w:noProof/>
          <w:sz w:val="24"/>
          <w:szCs w:val="24"/>
        </w:rPr>
        <w:t xml:space="preserve"> The forms of such exceptions are: </w:t>
      </w:r>
    </w:p>
    <w:p w14:paraId="0F480C69" w14:textId="77777777" w:rsidR="00D85ABA" w:rsidRPr="00DD5C5F" w:rsidRDefault="00D85ABA" w:rsidP="007F449B">
      <w:pPr>
        <w:pStyle w:val="ListParagraph"/>
        <w:numPr>
          <w:ilvl w:val="0"/>
          <w:numId w:val="20"/>
        </w:numPr>
        <w:tabs>
          <w:tab w:val="left" w:pos="851"/>
          <w:tab w:val="left" w:pos="1134"/>
        </w:tabs>
        <w:ind w:left="426" w:right="1" w:firstLine="425"/>
        <w:jc w:val="both"/>
        <w:rPr>
          <w:rFonts w:ascii="Book Antiqua" w:hAnsi="Book Antiqua" w:cs="Tahoma"/>
          <w:noProof/>
          <w:sz w:val="24"/>
          <w:szCs w:val="24"/>
        </w:rPr>
      </w:pPr>
      <w:r w:rsidRPr="00DD5C5F">
        <w:rPr>
          <w:rFonts w:ascii="Book Antiqua" w:hAnsi="Book Antiqua" w:cs="Tahoma"/>
          <w:noProof/>
          <w:sz w:val="24"/>
          <w:szCs w:val="24"/>
        </w:rPr>
        <w:t>Execution of the verdict “first”</w:t>
      </w:r>
    </w:p>
    <w:p w14:paraId="5A10BF55" w14:textId="77777777" w:rsidR="00D85ABA" w:rsidRPr="00DD5C5F" w:rsidRDefault="00D85ABA" w:rsidP="007F449B">
      <w:pPr>
        <w:pStyle w:val="ListParagraph"/>
        <w:numPr>
          <w:ilvl w:val="0"/>
          <w:numId w:val="20"/>
        </w:numPr>
        <w:tabs>
          <w:tab w:val="left" w:pos="851"/>
          <w:tab w:val="left" w:pos="1134"/>
        </w:tabs>
        <w:ind w:left="426" w:right="1" w:firstLine="425"/>
        <w:jc w:val="both"/>
        <w:rPr>
          <w:rFonts w:ascii="Book Antiqua" w:hAnsi="Book Antiqua" w:cs="Tahoma"/>
          <w:noProof/>
          <w:sz w:val="24"/>
          <w:szCs w:val="24"/>
        </w:rPr>
      </w:pPr>
      <w:r w:rsidRPr="00DD5C5F">
        <w:rPr>
          <w:rFonts w:ascii="Book Antiqua" w:hAnsi="Book Antiqua" w:cs="Tahoma"/>
          <w:noProof/>
          <w:sz w:val="24"/>
          <w:szCs w:val="24"/>
        </w:rPr>
        <w:t>Implementation Of Provision Decision</w:t>
      </w:r>
    </w:p>
    <w:p w14:paraId="4F88F9A4" w14:textId="77777777" w:rsidR="00D85ABA" w:rsidRPr="00DD5C5F" w:rsidRDefault="00D85ABA" w:rsidP="007F449B">
      <w:pPr>
        <w:pStyle w:val="ListParagraph"/>
        <w:numPr>
          <w:ilvl w:val="0"/>
          <w:numId w:val="20"/>
        </w:numPr>
        <w:tabs>
          <w:tab w:val="left" w:pos="851"/>
          <w:tab w:val="left" w:pos="1134"/>
        </w:tabs>
        <w:ind w:left="426" w:right="1" w:firstLine="425"/>
        <w:jc w:val="both"/>
        <w:rPr>
          <w:rFonts w:ascii="Book Antiqua" w:hAnsi="Book Antiqua" w:cs="Tahoma"/>
          <w:noProof/>
          <w:sz w:val="24"/>
          <w:szCs w:val="24"/>
        </w:rPr>
      </w:pPr>
      <w:r w:rsidRPr="00DD5C5F">
        <w:rPr>
          <w:rFonts w:ascii="Book Antiqua" w:hAnsi="Book Antiqua" w:cs="Tahoma"/>
          <w:noProof/>
          <w:sz w:val="24"/>
          <w:szCs w:val="24"/>
        </w:rPr>
        <w:t>peace act</w:t>
      </w:r>
    </w:p>
    <w:p w14:paraId="54DDF9A5" w14:textId="77777777" w:rsidR="00D85ABA" w:rsidRPr="00DD5C5F" w:rsidRDefault="00D85ABA" w:rsidP="007F449B">
      <w:pPr>
        <w:pStyle w:val="ListParagraph"/>
        <w:numPr>
          <w:ilvl w:val="0"/>
          <w:numId w:val="20"/>
        </w:numPr>
        <w:tabs>
          <w:tab w:val="left" w:pos="851"/>
          <w:tab w:val="left" w:pos="1134"/>
        </w:tabs>
        <w:ind w:left="426" w:right="1" w:firstLine="425"/>
        <w:jc w:val="both"/>
        <w:rPr>
          <w:rFonts w:ascii="Book Antiqua" w:hAnsi="Book Antiqua" w:cs="Tahoma"/>
          <w:noProof/>
          <w:sz w:val="24"/>
          <w:szCs w:val="24"/>
        </w:rPr>
      </w:pPr>
      <w:r w:rsidRPr="00DD5C5F">
        <w:rPr>
          <w:rFonts w:ascii="Book Antiqua" w:hAnsi="Book Antiqua" w:cs="Tahoma"/>
          <w:noProof/>
          <w:sz w:val="24"/>
          <w:szCs w:val="24"/>
        </w:rPr>
        <w:t>execution grosee deed</w:t>
      </w:r>
    </w:p>
    <w:p w14:paraId="62BF0C73" w14:textId="77777777" w:rsidR="00D85ABA" w:rsidRPr="00DD5C5F" w:rsidRDefault="00D85ABA" w:rsidP="007F449B">
      <w:pPr>
        <w:pStyle w:val="ListParagraph"/>
        <w:numPr>
          <w:ilvl w:val="0"/>
          <w:numId w:val="20"/>
        </w:numPr>
        <w:tabs>
          <w:tab w:val="left" w:pos="851"/>
          <w:tab w:val="left" w:pos="1134"/>
        </w:tabs>
        <w:ind w:left="426" w:right="1" w:firstLine="425"/>
        <w:jc w:val="both"/>
        <w:rPr>
          <w:rFonts w:ascii="Book Antiqua" w:hAnsi="Book Antiqua" w:cs="Tahoma"/>
          <w:noProof/>
          <w:sz w:val="24"/>
          <w:szCs w:val="24"/>
        </w:rPr>
      </w:pPr>
      <w:r w:rsidRPr="00DD5C5F">
        <w:rPr>
          <w:rFonts w:ascii="Book Antiqua" w:hAnsi="Book Antiqua" w:cs="Tahoma"/>
          <w:noProof/>
          <w:sz w:val="24"/>
          <w:szCs w:val="24"/>
        </w:rPr>
        <w:t>execution of mortgage and fiduciary guarantees</w:t>
      </w:r>
    </w:p>
    <w:p w14:paraId="5CA6C2FB" w14:textId="77777777" w:rsidR="005271FF" w:rsidRPr="00DD5C5F" w:rsidRDefault="005271FF" w:rsidP="005271FF">
      <w:pPr>
        <w:pStyle w:val="ListParagraph"/>
        <w:ind w:left="851" w:right="1" w:firstLine="0"/>
        <w:jc w:val="both"/>
        <w:rPr>
          <w:rFonts w:ascii="Book Antiqua" w:hAnsi="Book Antiqua" w:cs="Tahoma"/>
          <w:noProof/>
          <w:sz w:val="24"/>
          <w:szCs w:val="24"/>
        </w:rPr>
      </w:pPr>
    </w:p>
    <w:p w14:paraId="564D8BFD" w14:textId="77777777" w:rsidR="00D85ABA" w:rsidRPr="00DD5C5F" w:rsidRDefault="00D85ABA" w:rsidP="005271FF">
      <w:pPr>
        <w:spacing w:after="0" w:line="240" w:lineRule="auto"/>
        <w:ind w:right="1" w:firstLine="851"/>
        <w:jc w:val="both"/>
        <w:rPr>
          <w:rFonts w:ascii="Book Antiqua" w:hAnsi="Book Antiqua" w:cs="Tahoma"/>
          <w:noProof/>
          <w:sz w:val="24"/>
          <w:szCs w:val="24"/>
        </w:rPr>
      </w:pPr>
      <w:r w:rsidRPr="00DD5C5F">
        <w:rPr>
          <w:rFonts w:ascii="Book Antiqua" w:hAnsi="Book Antiqua" w:cs="Tahoma"/>
          <w:noProof/>
          <w:sz w:val="24"/>
          <w:szCs w:val="24"/>
        </w:rPr>
        <w:t>The decision that is equated with the judge's decision has the same characteristics as the court's decision which has the titles “for the sake of Justice based on the Supreme God”. On this irah irah fiduciary security contained in the certificate of fiduciary security. The order for the existence of irah irah in the fiduciary certificate is contained in Article 15 Paragraph (1) of the UUJF. With this irah irah, the fiduciary certificate is considered “equated " with the decision of a judge who has permanent legal force.</w:t>
      </w:r>
    </w:p>
    <w:p w14:paraId="78005E8B" w14:textId="67691661" w:rsidR="00D85ABA" w:rsidRPr="00DD5C5F" w:rsidRDefault="00D85ABA" w:rsidP="005271FF">
      <w:pPr>
        <w:spacing w:after="0" w:line="240" w:lineRule="auto"/>
        <w:ind w:right="1" w:firstLine="851"/>
        <w:jc w:val="both"/>
        <w:rPr>
          <w:rFonts w:ascii="Book Antiqua" w:hAnsi="Book Antiqua" w:cs="Tahoma"/>
          <w:noProof/>
          <w:sz w:val="24"/>
          <w:szCs w:val="24"/>
        </w:rPr>
      </w:pPr>
      <w:r w:rsidRPr="00DD5C5F">
        <w:rPr>
          <w:rFonts w:ascii="Book Antiqua" w:hAnsi="Book Antiqua" w:cs="Tahoma"/>
          <w:noProof/>
          <w:sz w:val="24"/>
          <w:szCs w:val="24"/>
        </w:rPr>
        <w:t xml:space="preserve">When classified in the execution krateria, the fiduciary certificate is a decision that is a condensator because the function of material security is to provide security for the repayment of a debt. </w:t>
      </w:r>
      <w:r w:rsidR="00887D0D" w:rsidRPr="00DD5C5F">
        <w:rPr>
          <w:rFonts w:ascii="Book Antiqua" w:hAnsi="Book Antiqua" w:cs="Tahoma"/>
          <w:noProof/>
          <w:sz w:val="24"/>
          <w:szCs w:val="24"/>
        </w:rPr>
        <w:t>Thus,</w:t>
      </w:r>
      <w:r w:rsidRPr="00DD5C5F">
        <w:rPr>
          <w:rFonts w:ascii="Book Antiqua" w:hAnsi="Book Antiqua" w:cs="Tahoma"/>
          <w:noProof/>
          <w:sz w:val="24"/>
          <w:szCs w:val="24"/>
        </w:rPr>
        <w:t xml:space="preserve"> the form of punishment is in the form of paying a sum of money as repayment of the debt to the creditor. The decision of the condemnator of course m</w:t>
      </w:r>
      <w:r w:rsidR="00887D0D" w:rsidRPr="00DD5C5F">
        <w:rPr>
          <w:rFonts w:ascii="Book Antiqua" w:hAnsi="Book Antiqua" w:cs="Tahoma"/>
          <w:noProof/>
          <w:sz w:val="24"/>
          <w:szCs w:val="24"/>
        </w:rPr>
        <w:t>emiliki eksekutorial power. This</w:t>
      </w:r>
      <w:r w:rsidRPr="00DD5C5F">
        <w:rPr>
          <w:rFonts w:ascii="Book Antiqua" w:hAnsi="Book Antiqua" w:cs="Tahoma"/>
          <w:noProof/>
          <w:sz w:val="24"/>
          <w:szCs w:val="24"/>
        </w:rPr>
        <w:t xml:space="preserve">executorial power is affirmed in Article 15 Paragraph (2) of the UUJF which states that the fiduciary certificate has the same executorial power as a court decision that already has permanent legal power. </w:t>
      </w:r>
      <w:r w:rsidR="00C179C6" w:rsidRPr="00DD5C5F">
        <w:rPr>
          <w:rFonts w:ascii="Book Antiqua" w:hAnsi="Book Antiqua" w:cs="Tahoma"/>
          <w:noProof/>
          <w:sz w:val="24"/>
          <w:szCs w:val="24"/>
        </w:rPr>
        <w:t>That is,</w:t>
      </w:r>
      <w:r w:rsidRPr="00DD5C5F">
        <w:rPr>
          <w:rFonts w:ascii="Book Antiqua" w:hAnsi="Book Antiqua" w:cs="Tahoma"/>
          <w:noProof/>
          <w:sz w:val="24"/>
          <w:szCs w:val="24"/>
        </w:rPr>
        <w:t xml:space="preserve"> it can be directly implemented without going to court and is final and binding on the parties to implement the decision.</w:t>
      </w:r>
      <w:r w:rsidR="00D81165">
        <w:rPr>
          <w:rStyle w:val="FootnoteReference"/>
          <w:rFonts w:ascii="Book Antiqua" w:hAnsi="Book Antiqua" w:cs="Tahoma"/>
          <w:noProof/>
          <w:sz w:val="24"/>
          <w:szCs w:val="24"/>
        </w:rPr>
        <w:footnoteReference w:id="8"/>
      </w:r>
    </w:p>
    <w:p w14:paraId="41380171" w14:textId="3F13D272" w:rsidR="00D85ABA" w:rsidRPr="00DD5C5F" w:rsidRDefault="00D85ABA" w:rsidP="005271FF">
      <w:pPr>
        <w:tabs>
          <w:tab w:val="left" w:pos="709"/>
        </w:tabs>
        <w:spacing w:after="0" w:line="240" w:lineRule="auto"/>
        <w:ind w:right="1" w:firstLine="851"/>
        <w:jc w:val="both"/>
        <w:rPr>
          <w:rFonts w:ascii="Book Antiqua" w:hAnsi="Book Antiqua" w:cs="Tahoma"/>
          <w:noProof/>
          <w:sz w:val="24"/>
          <w:szCs w:val="24"/>
        </w:rPr>
      </w:pPr>
      <w:r w:rsidRPr="00DD5C5F">
        <w:rPr>
          <w:rFonts w:ascii="Book Antiqua" w:hAnsi="Book Antiqua" w:cs="Tahoma"/>
          <w:noProof/>
          <w:sz w:val="24"/>
          <w:szCs w:val="24"/>
        </w:rPr>
        <w:t xml:space="preserve">On special guarantees in the form of material guarantees including liens, mortgages, fiduciaries and mortgage rights, excutorial rights are equipped with execution parate institutions. Execution Parate is the right of the creditor to make a sale on his own power without having the permission (fiat) execution from the judge. P.A Stein referred to this institution as “simplified execution” whereas a Pitlo referred to it as </w:t>
      </w:r>
      <w:r w:rsidRPr="00DD5C5F">
        <w:rPr>
          <w:rFonts w:ascii="Book Antiqua" w:hAnsi="Book Antiqua" w:cs="Tahoma"/>
          <w:i/>
          <w:noProof/>
          <w:sz w:val="24"/>
          <w:szCs w:val="24"/>
        </w:rPr>
        <w:t>“zonder omslang”</w:t>
      </w:r>
      <w:r w:rsidRPr="00DD5C5F">
        <w:rPr>
          <w:rFonts w:ascii="Book Antiqua" w:hAnsi="Book Antiqua" w:cs="Tahoma"/>
          <w:noProof/>
          <w:sz w:val="24"/>
          <w:szCs w:val="24"/>
        </w:rPr>
        <w:t xml:space="preserve"> or no twists and turns.</w:t>
      </w:r>
      <w:r w:rsidR="00D81165">
        <w:rPr>
          <w:rStyle w:val="FootnoteReference"/>
          <w:rFonts w:ascii="Book Antiqua" w:hAnsi="Book Antiqua" w:cs="Tahoma"/>
          <w:noProof/>
          <w:sz w:val="24"/>
          <w:szCs w:val="24"/>
        </w:rPr>
        <w:footnoteReference w:id="9"/>
      </w:r>
      <w:r w:rsidR="00D81165">
        <w:rPr>
          <w:rFonts w:ascii="Book Antiqua" w:hAnsi="Book Antiqua" w:cs="Tahoma"/>
          <w:noProof/>
          <w:sz w:val="24"/>
          <w:szCs w:val="24"/>
        </w:rPr>
        <w:t xml:space="preserve"> </w:t>
      </w:r>
      <w:r w:rsidRPr="00DD5C5F">
        <w:rPr>
          <w:rFonts w:ascii="Book Antiqua" w:hAnsi="Book Antiqua" w:cs="Tahoma"/>
          <w:noProof/>
          <w:sz w:val="24"/>
          <w:szCs w:val="24"/>
        </w:rPr>
        <w:t xml:space="preserve">This institution of execution parate arises from the presence of privileges on special guarantees in the Civil Code. In special guarantees, including fiduciary, the position of the creditor is in a special place, namely as a preferred creditor. Preferred creditors are given the right to obtain repayment that takes precedence over other creditors. The execution Parate is expressly stated in Article 15 Paragraph (3) of the UUJF which states that if the debtor is injured by a promise, the fiduciary recipient (creditor) has the right to make a sale on his own power. </w:t>
      </w:r>
    </w:p>
    <w:p w14:paraId="1C9C2B23" w14:textId="77777777" w:rsidR="00D85ABA" w:rsidRPr="00DD5C5F" w:rsidRDefault="00D85ABA" w:rsidP="005271FF">
      <w:pPr>
        <w:tabs>
          <w:tab w:val="left" w:pos="709"/>
        </w:tabs>
        <w:spacing w:after="0" w:line="240" w:lineRule="auto"/>
        <w:ind w:right="1" w:firstLine="851"/>
        <w:jc w:val="both"/>
        <w:rPr>
          <w:rFonts w:ascii="Book Antiqua" w:hAnsi="Book Antiqua" w:cs="Tahoma"/>
          <w:noProof/>
          <w:sz w:val="24"/>
          <w:szCs w:val="24"/>
        </w:rPr>
      </w:pPr>
      <w:r w:rsidRPr="00DD5C5F">
        <w:rPr>
          <w:rFonts w:ascii="Book Antiqua" w:hAnsi="Book Antiqua" w:cs="Tahoma"/>
          <w:noProof/>
          <w:sz w:val="24"/>
          <w:szCs w:val="24"/>
        </w:rPr>
        <w:t>From the above regulation of executorial rights and execution parate institutions, it appears that the nature of both positions, both executorial rights and execution</w:t>
      </w:r>
      <w:r w:rsidR="00C179C6" w:rsidRPr="00DD5C5F">
        <w:rPr>
          <w:rFonts w:ascii="Book Antiqua" w:hAnsi="Book Antiqua" w:cs="Tahoma"/>
          <w:noProof/>
          <w:sz w:val="24"/>
          <w:szCs w:val="24"/>
        </w:rPr>
        <w:t>Parate institutions, are</w:t>
      </w:r>
      <w:r w:rsidRPr="00DD5C5F">
        <w:rPr>
          <w:rFonts w:ascii="Book Antiqua" w:hAnsi="Book Antiqua" w:cs="Tahoma"/>
          <w:noProof/>
          <w:sz w:val="24"/>
          <w:szCs w:val="24"/>
        </w:rPr>
        <w:t xml:space="preserve">hak </w:t>
      </w:r>
      <w:r w:rsidR="00C179C6" w:rsidRPr="00DD5C5F">
        <w:rPr>
          <w:rFonts w:ascii="Book Antiqua" w:hAnsi="Book Antiqua" w:cs="Tahoma"/>
          <w:noProof/>
          <w:sz w:val="24"/>
          <w:szCs w:val="24"/>
        </w:rPr>
        <w:t>special rights</w:t>
      </w:r>
      <w:r w:rsidRPr="00DD5C5F">
        <w:rPr>
          <w:rFonts w:ascii="Book Antiqua" w:hAnsi="Book Antiqua" w:cs="Tahoma"/>
          <w:noProof/>
          <w:sz w:val="24"/>
          <w:szCs w:val="24"/>
        </w:rPr>
        <w:t xml:space="preserve"> arising from the consequences of the existence of special material security institutions </w:t>
      </w:r>
      <w:r w:rsidR="00C179C6" w:rsidRPr="00DD5C5F">
        <w:rPr>
          <w:rFonts w:ascii="Book Antiqua" w:hAnsi="Book Antiqua" w:cs="Tahoma"/>
          <w:noProof/>
          <w:sz w:val="24"/>
          <w:szCs w:val="24"/>
        </w:rPr>
        <w:t>in</w:t>
      </w:r>
      <w:r w:rsidRPr="00DD5C5F">
        <w:rPr>
          <w:rFonts w:ascii="Book Antiqua" w:hAnsi="Book Antiqua" w:cs="Tahoma"/>
          <w:noProof/>
          <w:sz w:val="24"/>
          <w:szCs w:val="24"/>
        </w:rPr>
        <w:t xml:space="preserve">the law. </w:t>
      </w:r>
      <w:r w:rsidR="00C179C6" w:rsidRPr="00DD5C5F">
        <w:rPr>
          <w:rFonts w:ascii="Book Antiqua" w:hAnsi="Book Antiqua" w:cs="Tahoma"/>
          <w:noProof/>
          <w:sz w:val="24"/>
          <w:szCs w:val="24"/>
        </w:rPr>
        <w:t>Ease in</w:t>
      </w:r>
      <w:r w:rsidRPr="00DD5C5F">
        <w:rPr>
          <w:rFonts w:ascii="Book Antiqua" w:hAnsi="Book Antiqua" w:cs="Tahoma"/>
          <w:noProof/>
          <w:sz w:val="24"/>
          <w:szCs w:val="24"/>
        </w:rPr>
        <w:t xml:space="preserve"> the return of receivables and position in the first place for creditors is a characteristic of the special guarantee institution. this characteristic is </w:t>
      </w:r>
      <w:r w:rsidR="00C179C6" w:rsidRPr="00DD5C5F">
        <w:rPr>
          <w:rFonts w:ascii="Book Antiqua" w:hAnsi="Book Antiqua" w:cs="Tahoma"/>
          <w:noProof/>
          <w:sz w:val="24"/>
          <w:szCs w:val="24"/>
        </w:rPr>
        <w:t xml:space="preserve">also </w:t>
      </w:r>
      <w:r w:rsidRPr="00DD5C5F">
        <w:rPr>
          <w:rFonts w:ascii="Book Antiqua" w:hAnsi="Book Antiqua" w:cs="Tahoma"/>
          <w:noProof/>
          <w:sz w:val="24"/>
          <w:szCs w:val="24"/>
        </w:rPr>
        <w:t>stated firmly in</w:t>
      </w:r>
      <w:r w:rsidR="00C179C6" w:rsidRPr="00DD5C5F">
        <w:rPr>
          <w:rFonts w:ascii="Book Antiqua" w:hAnsi="Book Antiqua" w:cs="Tahoma"/>
          <w:noProof/>
          <w:sz w:val="24"/>
          <w:szCs w:val="24"/>
        </w:rPr>
        <w:t>am</w:t>
      </w:r>
      <w:r w:rsidRPr="00DD5C5F">
        <w:rPr>
          <w:rFonts w:ascii="Book Antiqua" w:hAnsi="Book Antiqua" w:cs="Tahoma"/>
          <w:noProof/>
          <w:sz w:val="24"/>
          <w:szCs w:val="24"/>
        </w:rPr>
        <w:t xml:space="preserve"> the explanation of Article 15 Paragraph (3) of the UUJF, </w:t>
      </w:r>
      <w:r w:rsidR="00C179C6" w:rsidRPr="00DD5C5F">
        <w:rPr>
          <w:rFonts w:ascii="Book Antiqua" w:hAnsi="Book Antiqua" w:cs="Tahoma"/>
          <w:noProof/>
          <w:sz w:val="24"/>
          <w:szCs w:val="24"/>
        </w:rPr>
        <w:t>namely</w:t>
      </w:r>
      <w:r w:rsidRPr="00DD5C5F">
        <w:rPr>
          <w:rFonts w:ascii="Book Antiqua" w:hAnsi="Book Antiqua" w:cs="Tahoma"/>
          <w:noProof/>
          <w:sz w:val="24"/>
          <w:szCs w:val="24"/>
        </w:rPr>
        <w:t xml:space="preserve"> :</w:t>
      </w:r>
    </w:p>
    <w:p w14:paraId="2E2FA473" w14:textId="77777777" w:rsidR="00D85ABA" w:rsidRPr="00DD5C5F" w:rsidRDefault="00196B49" w:rsidP="005271FF">
      <w:pPr>
        <w:tabs>
          <w:tab w:val="left" w:pos="284"/>
        </w:tabs>
        <w:spacing w:after="0" w:line="240" w:lineRule="auto"/>
        <w:ind w:right="49" w:firstLine="851"/>
        <w:jc w:val="both"/>
        <w:rPr>
          <w:rFonts w:ascii="Book Antiqua" w:hAnsi="Book Antiqua" w:cs="Tahoma"/>
          <w:noProof/>
          <w:sz w:val="24"/>
          <w:szCs w:val="24"/>
        </w:rPr>
      </w:pPr>
      <w:r w:rsidRPr="00DD5C5F">
        <w:rPr>
          <w:rFonts w:ascii="Book Antiqua" w:hAnsi="Book Antiqua" w:cs="Tahoma"/>
          <w:noProof/>
          <w:sz w:val="24"/>
          <w:szCs w:val="24"/>
        </w:rPr>
        <w:t>“</w:t>
      </w:r>
      <w:r w:rsidR="00D85ABA" w:rsidRPr="00DD5C5F">
        <w:rPr>
          <w:rFonts w:ascii="Book Antiqua" w:hAnsi="Book Antiqua" w:cs="Tahoma"/>
          <w:noProof/>
          <w:sz w:val="24"/>
          <w:szCs w:val="24"/>
        </w:rPr>
        <w:t>One of the characteristics of fiduciary security is the ease of execution, namely if the fiduciary injured the promise. Therefore, in this law it is deemed necessary to specifically regulate the execution of fiduciary guarantees through the execution</w:t>
      </w:r>
      <w:r w:rsidRPr="00DD5C5F">
        <w:rPr>
          <w:rFonts w:ascii="Book Antiqua" w:hAnsi="Book Antiqua" w:cs="Tahoma"/>
          <w:noProof/>
          <w:sz w:val="24"/>
          <w:szCs w:val="24"/>
        </w:rPr>
        <w:t>parate institution”</w:t>
      </w:r>
    </w:p>
    <w:p w14:paraId="74C4953C" w14:textId="00BF054D" w:rsidR="00D85ABA" w:rsidRPr="00DD5C5F" w:rsidRDefault="00D85ABA" w:rsidP="005271FF">
      <w:pPr>
        <w:tabs>
          <w:tab w:val="left" w:pos="709"/>
        </w:tabs>
        <w:spacing w:after="0" w:line="240" w:lineRule="auto"/>
        <w:ind w:right="1" w:firstLine="851"/>
        <w:jc w:val="both"/>
        <w:rPr>
          <w:rFonts w:ascii="Book Antiqua" w:hAnsi="Book Antiqua" w:cs="Tahoma"/>
          <w:noProof/>
          <w:color w:val="FF0000"/>
          <w:sz w:val="24"/>
          <w:szCs w:val="24"/>
        </w:rPr>
      </w:pPr>
      <w:r w:rsidRPr="00DD5C5F">
        <w:rPr>
          <w:rFonts w:ascii="Book Antiqua" w:hAnsi="Book Antiqua" w:cs="Tahoma"/>
          <w:noProof/>
          <w:sz w:val="24"/>
          <w:szCs w:val="24"/>
        </w:rPr>
        <w:t>Execution is the ultimate goal of the debtor's pledge injury. injury to a promise or default is interpreted as an act of non-fulfillment of achievements. Mariam Darus Badrulzaman said that default occurs when the debtor due to his fault does not carry out what was agreed.</w:t>
      </w:r>
      <w:r w:rsidR="00A61653">
        <w:rPr>
          <w:rStyle w:val="FootnoteReference"/>
          <w:rFonts w:ascii="Book Antiqua" w:hAnsi="Book Antiqua" w:cs="Tahoma"/>
          <w:noProof/>
          <w:sz w:val="24"/>
          <w:szCs w:val="24"/>
        </w:rPr>
        <w:footnoteReference w:id="10"/>
      </w:r>
      <w:r w:rsidRPr="00DD5C5F">
        <w:rPr>
          <w:rFonts w:ascii="Book Antiqua" w:hAnsi="Book Antiqua" w:cs="Tahoma"/>
          <w:noProof/>
          <w:sz w:val="24"/>
          <w:szCs w:val="24"/>
        </w:rPr>
        <w:t xml:space="preserve"> The element of error here is very important to distinguish </w:t>
      </w:r>
      <w:r w:rsidRPr="00DD5C5F">
        <w:rPr>
          <w:rFonts w:ascii="Book Antiqua" w:hAnsi="Book Antiqua" w:cs="Tahoma"/>
          <w:i/>
          <w:noProof/>
          <w:sz w:val="24"/>
          <w:szCs w:val="24"/>
        </w:rPr>
        <w:t>it from force majeure</w:t>
      </w:r>
      <w:r w:rsidRPr="00DD5C5F">
        <w:rPr>
          <w:rFonts w:ascii="Book Antiqua" w:hAnsi="Book Antiqua" w:cs="Tahoma"/>
          <w:noProof/>
          <w:sz w:val="24"/>
          <w:szCs w:val="24"/>
        </w:rPr>
        <w:t xml:space="preserve">. </w:t>
      </w:r>
    </w:p>
    <w:p w14:paraId="349E073F" w14:textId="77777777" w:rsidR="00D85ABA" w:rsidRPr="00DD5C5F" w:rsidRDefault="00D85ABA" w:rsidP="005271FF">
      <w:pPr>
        <w:tabs>
          <w:tab w:val="left" w:pos="709"/>
        </w:tabs>
        <w:spacing w:after="0" w:line="240" w:lineRule="auto"/>
        <w:ind w:right="1" w:firstLine="851"/>
        <w:jc w:val="both"/>
        <w:rPr>
          <w:rFonts w:ascii="Book Antiqua" w:hAnsi="Book Antiqua" w:cs="Tahoma"/>
          <w:noProof/>
          <w:sz w:val="24"/>
          <w:szCs w:val="24"/>
        </w:rPr>
      </w:pPr>
      <w:r w:rsidRPr="00DD5C5F">
        <w:rPr>
          <w:rFonts w:ascii="Book Antiqua" w:hAnsi="Book Antiqua" w:cs="Tahoma"/>
          <w:noProof/>
          <w:sz w:val="24"/>
          <w:szCs w:val="24"/>
        </w:rPr>
        <w:t>The fiduciary agreement is an Accessoir agreement that</w:t>
      </w:r>
      <w:r w:rsidR="00862C6A" w:rsidRPr="00DD5C5F">
        <w:rPr>
          <w:rFonts w:ascii="Book Antiqua" w:hAnsi="Book Antiqua" w:cs="Tahoma"/>
          <w:noProof/>
          <w:sz w:val="24"/>
          <w:szCs w:val="24"/>
        </w:rPr>
        <w:t xml:space="preserve"> is</w:t>
      </w:r>
      <w:r w:rsidRPr="00DD5C5F">
        <w:rPr>
          <w:rFonts w:ascii="Book Antiqua" w:hAnsi="Book Antiqua" w:cs="Tahoma"/>
          <w:noProof/>
          <w:sz w:val="24"/>
          <w:szCs w:val="24"/>
        </w:rPr>
        <w:t xml:space="preserve"> an agreement that follows the main agreement. The fiduciary agreement as a follow-up agreement (accessoir) is affirmed in Article 4 of the UUJF . J.Satrio said that the characteristics of the agreement that are accesoir are the birth and transfer as well as the deletion depending on the principal agreement. Thus, the fiduciary guarantee agreement cannot be separated from the credit or financing agreement, the principle of which is the debt and debt agreement which is the main agreement. Thus, the promise injury referred to in Article 15 Paragraph (3) of the UUJF is a promise injury from the principal agreement not from the fiduciary guarantee agreement as its accessory.</w:t>
      </w:r>
    </w:p>
    <w:p w14:paraId="2D88DDD2" w14:textId="77777777" w:rsidR="00D85ABA" w:rsidRPr="00DD5C5F" w:rsidRDefault="00D85ABA" w:rsidP="005271FF">
      <w:pPr>
        <w:tabs>
          <w:tab w:val="left" w:pos="709"/>
        </w:tabs>
        <w:spacing w:after="0" w:line="240" w:lineRule="auto"/>
        <w:ind w:right="1" w:firstLine="851"/>
        <w:jc w:val="both"/>
        <w:rPr>
          <w:rFonts w:ascii="Book Antiqua" w:hAnsi="Book Antiqua" w:cs="Tahoma"/>
          <w:noProof/>
          <w:sz w:val="24"/>
          <w:szCs w:val="24"/>
        </w:rPr>
      </w:pPr>
      <w:r w:rsidRPr="00DD5C5F">
        <w:rPr>
          <w:rFonts w:ascii="Book Antiqua" w:hAnsi="Book Antiqua" w:cs="Tahoma"/>
          <w:noProof/>
          <w:sz w:val="24"/>
          <w:szCs w:val="24"/>
        </w:rPr>
        <w:t>In the provisions of H</w:t>
      </w:r>
      <w:r w:rsidR="005B6A9B" w:rsidRPr="00DD5C5F">
        <w:rPr>
          <w:rFonts w:ascii="Book Antiqua" w:hAnsi="Book Antiqua" w:cs="Tahoma"/>
          <w:noProof/>
          <w:sz w:val="24"/>
          <w:szCs w:val="24"/>
        </w:rPr>
        <w:t>ukum, the injury of promise is regulated in the construction</w:t>
      </w:r>
      <w:r w:rsidRPr="00DD5C5F">
        <w:rPr>
          <w:rFonts w:ascii="Book Antiqua" w:hAnsi="Book Antiqua" w:cs="Tahoma"/>
          <w:noProof/>
          <w:sz w:val="24"/>
          <w:szCs w:val="24"/>
        </w:rPr>
        <w:t xml:space="preserve"> of Book III of the Civil Code regarding the agreement. That is, the terms of the pledge injury can be agreed</w:t>
      </w:r>
      <w:r w:rsidR="00862C6A" w:rsidRPr="00DD5C5F">
        <w:rPr>
          <w:rFonts w:ascii="Book Antiqua" w:hAnsi="Book Antiqua" w:cs="Tahoma"/>
          <w:noProof/>
          <w:sz w:val="24"/>
          <w:szCs w:val="24"/>
        </w:rPr>
        <w:t xml:space="preserve"> </w:t>
      </w:r>
      <w:r w:rsidRPr="00DD5C5F">
        <w:rPr>
          <w:rFonts w:ascii="Book Antiqua" w:hAnsi="Book Antiqua" w:cs="Tahoma"/>
          <w:noProof/>
          <w:sz w:val="24"/>
          <w:szCs w:val="24"/>
        </w:rPr>
        <w:t>upon by both parties. However, in the contract law system, there are three classifications of agreement elements, namely :</w:t>
      </w:r>
    </w:p>
    <w:p w14:paraId="76B28446" w14:textId="77777777" w:rsidR="00D85ABA" w:rsidRPr="00DD5C5F" w:rsidRDefault="00D85ABA" w:rsidP="007F449B">
      <w:pPr>
        <w:pStyle w:val="ListParagraph"/>
        <w:numPr>
          <w:ilvl w:val="0"/>
          <w:numId w:val="9"/>
        </w:numPr>
        <w:tabs>
          <w:tab w:val="left" w:pos="1843"/>
        </w:tabs>
        <w:ind w:left="709" w:right="1" w:hanging="283"/>
        <w:jc w:val="both"/>
        <w:rPr>
          <w:rFonts w:ascii="Book Antiqua" w:hAnsi="Book Antiqua" w:cs="Tahoma"/>
          <w:noProof/>
          <w:sz w:val="24"/>
          <w:szCs w:val="24"/>
        </w:rPr>
      </w:pPr>
      <w:r w:rsidRPr="00DD5C5F">
        <w:rPr>
          <w:rFonts w:ascii="Book Antiqua" w:hAnsi="Book Antiqua" w:cs="Tahoma"/>
          <w:noProof/>
          <w:sz w:val="24"/>
          <w:szCs w:val="24"/>
        </w:rPr>
        <w:t>Element Essensialia is an element that must exist in an agreement. If this element is not in the agreement then the agreement will be null and void (no agreement)</w:t>
      </w:r>
    </w:p>
    <w:p w14:paraId="39895A1B" w14:textId="77777777" w:rsidR="00D85ABA" w:rsidRPr="00DD5C5F" w:rsidRDefault="00D85ABA" w:rsidP="007F449B">
      <w:pPr>
        <w:pStyle w:val="ListParagraph"/>
        <w:numPr>
          <w:ilvl w:val="0"/>
          <w:numId w:val="9"/>
        </w:numPr>
        <w:tabs>
          <w:tab w:val="left" w:pos="1843"/>
        </w:tabs>
        <w:ind w:left="709" w:right="1" w:hanging="283"/>
        <w:jc w:val="both"/>
        <w:rPr>
          <w:rFonts w:ascii="Book Antiqua" w:hAnsi="Book Antiqua" w:cs="Tahoma"/>
          <w:noProof/>
          <w:sz w:val="24"/>
          <w:szCs w:val="24"/>
        </w:rPr>
      </w:pPr>
      <w:r w:rsidRPr="00DD5C5F">
        <w:rPr>
          <w:rFonts w:ascii="Book Antiqua" w:hAnsi="Book Antiqua" w:cs="Tahoma"/>
          <w:noProof/>
          <w:sz w:val="24"/>
          <w:szCs w:val="24"/>
        </w:rPr>
        <w:t xml:space="preserve">An element of Naturalia is an element of an agreement that by law is regulated but can be waived by the parties. </w:t>
      </w:r>
    </w:p>
    <w:p w14:paraId="65528E34" w14:textId="21A3168C" w:rsidR="00D85ABA" w:rsidRPr="00DD5C5F" w:rsidRDefault="00D85ABA" w:rsidP="007F449B">
      <w:pPr>
        <w:pStyle w:val="ListParagraph"/>
        <w:numPr>
          <w:ilvl w:val="0"/>
          <w:numId w:val="9"/>
        </w:numPr>
        <w:tabs>
          <w:tab w:val="left" w:pos="1843"/>
        </w:tabs>
        <w:ind w:left="709" w:right="1" w:hanging="283"/>
        <w:jc w:val="both"/>
        <w:rPr>
          <w:rFonts w:ascii="Book Antiqua" w:hAnsi="Book Antiqua" w:cs="Tahoma"/>
          <w:noProof/>
          <w:sz w:val="24"/>
          <w:szCs w:val="24"/>
        </w:rPr>
      </w:pPr>
      <w:r w:rsidRPr="00DD5C5F">
        <w:rPr>
          <w:rFonts w:ascii="Book Antiqua" w:hAnsi="Book Antiqua" w:cs="Tahoma"/>
          <w:noProof/>
          <w:sz w:val="24"/>
          <w:szCs w:val="24"/>
        </w:rPr>
        <w:t xml:space="preserve">The element of Accidentalia is an element of the agreement that has a firm Nature agreed upon by the parties. If you want </w:t>
      </w:r>
      <w:r w:rsidR="005B6A9B" w:rsidRPr="00DD5C5F">
        <w:rPr>
          <w:rFonts w:ascii="Book Antiqua" w:hAnsi="Book Antiqua" w:cs="Tahoma"/>
          <w:noProof/>
          <w:sz w:val="24"/>
          <w:szCs w:val="24"/>
        </w:rPr>
        <w:t>to be promised, it must be stated explicitly.</w:t>
      </w:r>
      <w:r w:rsidR="00A61653">
        <w:rPr>
          <w:rStyle w:val="FootnoteReference"/>
          <w:rFonts w:ascii="Book Antiqua" w:hAnsi="Book Antiqua" w:cs="Tahoma"/>
          <w:noProof/>
          <w:sz w:val="24"/>
          <w:szCs w:val="24"/>
        </w:rPr>
        <w:footnoteReference w:id="11"/>
      </w:r>
    </w:p>
    <w:p w14:paraId="2B265D46" w14:textId="77777777" w:rsidR="00D85ABA" w:rsidRPr="00DD5C5F" w:rsidRDefault="00DB232E" w:rsidP="005271FF">
      <w:pPr>
        <w:spacing w:after="0" w:line="240" w:lineRule="auto"/>
        <w:ind w:right="1" w:firstLine="567"/>
        <w:jc w:val="both"/>
        <w:rPr>
          <w:rFonts w:ascii="Book Antiqua" w:hAnsi="Book Antiqua" w:cs="Tahoma"/>
          <w:noProof/>
          <w:sz w:val="24"/>
          <w:szCs w:val="24"/>
        </w:rPr>
      </w:pPr>
      <w:r w:rsidRPr="00DD5C5F">
        <w:rPr>
          <w:rFonts w:ascii="Book Antiqua" w:hAnsi="Book Antiqua" w:cs="Tahoma"/>
          <w:noProof/>
          <w:sz w:val="24"/>
          <w:szCs w:val="24"/>
        </w:rPr>
        <w:t>The promise injury clause</w:t>
      </w:r>
      <w:r w:rsidR="00D85ABA" w:rsidRPr="00DD5C5F">
        <w:rPr>
          <w:rFonts w:ascii="Book Antiqua" w:hAnsi="Book Antiqua" w:cs="Tahoma"/>
          <w:noProof/>
          <w:sz w:val="24"/>
          <w:szCs w:val="24"/>
        </w:rPr>
        <w:t xml:space="preserve"> is a </w:t>
      </w:r>
      <w:r w:rsidRPr="00DD5C5F">
        <w:rPr>
          <w:rFonts w:ascii="Book Antiqua" w:hAnsi="Book Antiqua" w:cs="Tahoma"/>
          <w:noProof/>
          <w:sz w:val="24"/>
          <w:szCs w:val="24"/>
        </w:rPr>
        <w:t>clause</w:t>
      </w:r>
      <w:r w:rsidR="00D85ABA" w:rsidRPr="00DD5C5F">
        <w:rPr>
          <w:rFonts w:ascii="Book Antiqua" w:hAnsi="Book Antiqua" w:cs="Tahoma"/>
          <w:noProof/>
          <w:sz w:val="24"/>
          <w:szCs w:val="24"/>
        </w:rPr>
        <w:t xml:space="preserve"> that goes to the element of naturalia. This means that the absence of an agreed-upon injunction arrangement does not cause the injunction rule itself to be non-existent. If there is a promise injury, the parties will rely on the rules to the Civil Code. The nature of Book III of the civil code is generally a governing law (anvullen recht) not a compelling law (dwigent recht). The nature of anvullen recht gives the parties the discretion to self-regulate their agreement. Likewise, if the parties do not regulate, it will be the provisions of the Civil Code Book III that appear to complement it.  </w:t>
      </w:r>
    </w:p>
    <w:p w14:paraId="79D50DFC" w14:textId="77777777" w:rsidR="00D85ABA" w:rsidRPr="00DD5C5F" w:rsidRDefault="00D85ABA" w:rsidP="005271FF">
      <w:pPr>
        <w:pStyle w:val="ListParagraph"/>
        <w:ind w:left="0" w:right="1" w:firstLine="567"/>
        <w:jc w:val="both"/>
        <w:rPr>
          <w:rFonts w:ascii="Book Antiqua" w:hAnsi="Book Antiqua" w:cs="Tahoma"/>
          <w:noProof/>
          <w:sz w:val="24"/>
          <w:szCs w:val="24"/>
        </w:rPr>
      </w:pPr>
      <w:r w:rsidRPr="00DD5C5F">
        <w:rPr>
          <w:rFonts w:ascii="Book Antiqua" w:hAnsi="Book Antiqua" w:cs="Tahoma"/>
          <w:noProof/>
          <w:sz w:val="24"/>
          <w:szCs w:val="24"/>
        </w:rPr>
        <w:t>In fact, a promise injury is an article that can be agreed upon by both parties. However, the absence of a pledge injury clause in a written agreement does not render an agreement invalid and unenforceable</w:t>
      </w:r>
    </w:p>
    <w:p w14:paraId="7D86684A" w14:textId="77777777" w:rsidR="008679D6" w:rsidRPr="00DD5C5F" w:rsidRDefault="008679D6" w:rsidP="007F449B">
      <w:pPr>
        <w:pStyle w:val="ListParagraph"/>
        <w:tabs>
          <w:tab w:val="left" w:pos="0"/>
        </w:tabs>
        <w:ind w:left="426" w:right="1" w:firstLine="425"/>
        <w:jc w:val="both"/>
        <w:rPr>
          <w:rFonts w:ascii="Book Antiqua" w:hAnsi="Book Antiqua" w:cs="Tahoma"/>
          <w:noProof/>
          <w:sz w:val="24"/>
          <w:szCs w:val="24"/>
        </w:rPr>
      </w:pPr>
    </w:p>
    <w:p w14:paraId="285BE6E1" w14:textId="77777777" w:rsidR="00D85ABA" w:rsidRPr="00DD5C5F" w:rsidRDefault="00167579" w:rsidP="005271FF">
      <w:pPr>
        <w:pStyle w:val="ListParagraph"/>
        <w:numPr>
          <w:ilvl w:val="0"/>
          <w:numId w:val="24"/>
        </w:numPr>
        <w:ind w:left="284" w:right="1" w:hanging="284"/>
        <w:jc w:val="both"/>
        <w:rPr>
          <w:rFonts w:ascii="Book Antiqua" w:hAnsi="Book Antiqua" w:cs="Tahoma"/>
          <w:b/>
          <w:noProof/>
          <w:sz w:val="24"/>
          <w:szCs w:val="24"/>
          <w:lang w:val="id-ID"/>
        </w:rPr>
      </w:pPr>
      <w:r w:rsidRPr="00DD5C5F">
        <w:rPr>
          <w:rFonts w:ascii="Book Antiqua" w:hAnsi="Book Antiqua" w:cs="Tahoma"/>
          <w:b/>
          <w:noProof/>
          <w:sz w:val="24"/>
          <w:szCs w:val="24"/>
        </w:rPr>
        <w:t xml:space="preserve">Juridical Analysis </w:t>
      </w:r>
      <w:r w:rsidR="00D85ABA" w:rsidRPr="00DD5C5F">
        <w:rPr>
          <w:rFonts w:ascii="Book Antiqua" w:hAnsi="Book Antiqua" w:cs="Tahoma"/>
          <w:b/>
          <w:noProof/>
          <w:sz w:val="24"/>
          <w:szCs w:val="24"/>
        </w:rPr>
        <w:t>Of Constitutional Court Decision Number 18/Puu-Xvii/2019</w:t>
      </w:r>
    </w:p>
    <w:p w14:paraId="68B51349" w14:textId="77777777" w:rsidR="00D85ABA" w:rsidRPr="00DD5C5F" w:rsidRDefault="00D85ABA" w:rsidP="005271FF">
      <w:pPr>
        <w:spacing w:after="0" w:line="240" w:lineRule="auto"/>
        <w:ind w:right="1" w:firstLine="851"/>
        <w:jc w:val="both"/>
        <w:rPr>
          <w:rFonts w:ascii="Book Antiqua" w:hAnsi="Book Antiqua" w:cs="Tahoma"/>
          <w:sz w:val="24"/>
          <w:szCs w:val="24"/>
        </w:rPr>
      </w:pPr>
      <w:r w:rsidRPr="00DD5C5F">
        <w:rPr>
          <w:rFonts w:ascii="Book Antiqua" w:hAnsi="Book Antiqua" w:cs="Tahoma"/>
          <w:noProof/>
          <w:sz w:val="24"/>
          <w:szCs w:val="24"/>
        </w:rPr>
        <w:t xml:space="preserve">The formation </w:t>
      </w:r>
      <w:r w:rsidR="00911B43" w:rsidRPr="00DD5C5F">
        <w:rPr>
          <w:rFonts w:ascii="Book Antiqua" w:hAnsi="Book Antiqua" w:cs="Tahoma"/>
          <w:noProof/>
          <w:sz w:val="24"/>
          <w:szCs w:val="24"/>
        </w:rPr>
        <w:t>of law carried out by the judge should</w:t>
      </w:r>
      <w:r w:rsidR="00EF50DC" w:rsidRPr="00DD5C5F">
        <w:rPr>
          <w:rFonts w:ascii="Book Antiqua" w:hAnsi="Book Antiqua" w:cs="Tahoma"/>
          <w:noProof/>
          <w:sz w:val="24"/>
          <w:szCs w:val="24"/>
        </w:rPr>
        <w:t xml:space="preserve"> be</w:t>
      </w:r>
      <w:r w:rsidRPr="00DD5C5F">
        <w:rPr>
          <w:rFonts w:ascii="Book Antiqua" w:hAnsi="Book Antiqua" w:cs="Tahoma"/>
          <w:noProof/>
          <w:sz w:val="24"/>
          <w:szCs w:val="24"/>
        </w:rPr>
        <w:t xml:space="preserve">based on </w:t>
      </w:r>
      <w:r w:rsidR="00911B43" w:rsidRPr="00DD5C5F">
        <w:rPr>
          <w:rFonts w:ascii="Book Antiqua" w:hAnsi="Book Antiqua" w:cs="Tahoma"/>
          <w:noProof/>
          <w:sz w:val="24"/>
          <w:szCs w:val="24"/>
        </w:rPr>
        <w:t xml:space="preserve">the consideration </w:t>
      </w:r>
      <w:r w:rsidRPr="00DD5C5F">
        <w:rPr>
          <w:rFonts w:ascii="Book Antiqua" w:hAnsi="Book Antiqua" w:cs="Tahoma"/>
          <w:noProof/>
          <w:sz w:val="24"/>
          <w:szCs w:val="24"/>
        </w:rPr>
        <w:t xml:space="preserve">of the legal mind. The ideal of law according </w:t>
      </w:r>
      <w:r w:rsidRPr="00DD5C5F">
        <w:rPr>
          <w:rFonts w:ascii="Book Antiqua" w:hAnsi="Book Antiqua" w:cs="Tahoma"/>
          <w:sz w:val="24"/>
          <w:szCs w:val="24"/>
        </w:rPr>
        <w:t>to Rudolf Stemmler is a construction of thought which is a necessity to direct the law to the ideals that</w:t>
      </w:r>
      <w:r w:rsidR="00911B43" w:rsidRPr="00DD5C5F">
        <w:rPr>
          <w:rFonts w:ascii="Book Antiqua" w:hAnsi="Book Antiqua" w:cs="Tahoma"/>
          <w:sz w:val="24"/>
          <w:szCs w:val="24"/>
        </w:rPr>
        <w:t>in</w:t>
      </w:r>
      <w:r w:rsidRPr="00DD5C5F">
        <w:rPr>
          <w:rFonts w:ascii="Book Antiqua" w:hAnsi="Book Antiqua" w:cs="Tahoma"/>
          <w:sz w:val="24"/>
          <w:szCs w:val="24"/>
        </w:rPr>
        <w:t xml:space="preserve">society </w:t>
      </w:r>
      <w:r w:rsidRPr="00DD5C5F">
        <w:rPr>
          <w:rFonts w:ascii="Book Antiqua" w:hAnsi="Book Antiqua" w:cs="Tahoma"/>
          <w:i/>
          <w:sz w:val="24"/>
          <w:szCs w:val="24"/>
        </w:rPr>
        <w:t>wants (IUs constituendum).</w:t>
      </w:r>
      <w:r w:rsidRPr="00DD5C5F">
        <w:rPr>
          <w:rFonts w:ascii="Book Antiqua" w:hAnsi="Book Antiqua" w:cs="Tahoma"/>
          <w:sz w:val="24"/>
          <w:szCs w:val="24"/>
        </w:rPr>
        <w:t xml:space="preserve"> </w:t>
      </w:r>
      <w:r w:rsidR="00911B43" w:rsidRPr="00DD5C5F">
        <w:rPr>
          <w:rFonts w:ascii="Book Antiqua" w:hAnsi="Book Antiqua" w:cs="Tahoma"/>
          <w:sz w:val="24"/>
          <w:szCs w:val="24"/>
        </w:rPr>
        <w:t>Law without a legal mind akanloses its meaning as law.</w:t>
      </w:r>
      <w:r w:rsidR="00E87A38" w:rsidRPr="00DD5C5F">
        <w:rPr>
          <w:rFonts w:ascii="Book Antiqua" w:hAnsi="Book Antiqua" w:cs="Tahoma"/>
          <w:sz w:val="24"/>
          <w:szCs w:val="24"/>
        </w:rPr>
        <w:t xml:space="preserve"> </w:t>
      </w:r>
      <w:r w:rsidRPr="00DD5C5F">
        <w:rPr>
          <w:rFonts w:ascii="Book Antiqua" w:hAnsi="Book Antiqua" w:cs="Tahoma"/>
          <w:noProof/>
          <w:sz w:val="24"/>
          <w:szCs w:val="24"/>
        </w:rPr>
        <w:t xml:space="preserve">In </w:t>
      </w:r>
      <w:r w:rsidRPr="00DD5C5F">
        <w:rPr>
          <w:rFonts w:ascii="Book Antiqua" w:hAnsi="Book Antiqua" w:cs="Tahoma"/>
          <w:sz w:val="24"/>
          <w:szCs w:val="24"/>
        </w:rPr>
        <w:t xml:space="preserve">the theory of legal mind </w:t>
      </w:r>
      <w:r w:rsidRPr="00DD5C5F">
        <w:rPr>
          <w:rFonts w:ascii="Book Antiqua" w:hAnsi="Book Antiqua" w:cs="Tahoma"/>
          <w:i/>
          <w:sz w:val="24"/>
          <w:szCs w:val="24"/>
        </w:rPr>
        <w:t>(idee das recht)</w:t>
      </w:r>
      <w:r w:rsidRPr="00DD5C5F">
        <w:rPr>
          <w:rFonts w:ascii="Book Antiqua" w:hAnsi="Book Antiqua" w:cs="Tahoma"/>
          <w:sz w:val="24"/>
          <w:szCs w:val="24"/>
        </w:rPr>
        <w:t xml:space="preserve"> proposed by Gutav Radbruch. This teaching of the legal mind states </w:t>
      </w:r>
      <w:r w:rsidR="00E87A38" w:rsidRPr="00DD5C5F">
        <w:rPr>
          <w:rFonts w:ascii="Book Antiqua" w:hAnsi="Book Antiqua" w:cs="Tahoma"/>
          <w:sz w:val="24"/>
          <w:szCs w:val="24"/>
        </w:rPr>
        <w:t xml:space="preserve">that the elements of the legal mind that must exist proportionally are </w:t>
      </w:r>
      <w:r w:rsidRPr="00DD5C5F">
        <w:rPr>
          <w:rFonts w:ascii="Book Antiqua" w:hAnsi="Book Antiqua" w:cs="Tahoma"/>
          <w:sz w:val="24"/>
          <w:szCs w:val="24"/>
        </w:rPr>
        <w:t>legal certainty (</w:t>
      </w:r>
      <w:r w:rsidRPr="00DD5C5F">
        <w:rPr>
          <w:rFonts w:ascii="Book Antiqua" w:hAnsi="Book Antiqua" w:cs="Tahoma"/>
          <w:i/>
          <w:sz w:val="24"/>
          <w:szCs w:val="24"/>
        </w:rPr>
        <w:t>rechtssicherkeit)</w:t>
      </w:r>
      <w:r w:rsidRPr="00DD5C5F">
        <w:rPr>
          <w:rFonts w:ascii="Book Antiqua" w:hAnsi="Book Antiqua" w:cs="Tahoma"/>
          <w:sz w:val="24"/>
          <w:szCs w:val="24"/>
        </w:rPr>
        <w:t xml:space="preserve">, Justice </w:t>
      </w:r>
      <w:r w:rsidRPr="00DD5C5F">
        <w:rPr>
          <w:rFonts w:ascii="Book Antiqua" w:hAnsi="Book Antiqua" w:cs="Tahoma"/>
          <w:i/>
          <w:sz w:val="24"/>
          <w:szCs w:val="24"/>
        </w:rPr>
        <w:t>(gerechtingkeit)</w:t>
      </w:r>
      <w:r w:rsidRPr="00DD5C5F">
        <w:rPr>
          <w:rFonts w:ascii="Book Antiqua" w:hAnsi="Book Antiqua" w:cs="Tahoma"/>
          <w:sz w:val="24"/>
          <w:szCs w:val="24"/>
        </w:rPr>
        <w:t xml:space="preserve"> and expediency </w:t>
      </w:r>
      <w:r w:rsidRPr="00DD5C5F">
        <w:rPr>
          <w:rFonts w:ascii="Book Antiqua" w:hAnsi="Book Antiqua" w:cs="Tahoma"/>
          <w:i/>
          <w:sz w:val="24"/>
          <w:szCs w:val="24"/>
        </w:rPr>
        <w:t>(zweckmasigkeit)</w:t>
      </w:r>
      <w:r w:rsidRPr="00DD5C5F">
        <w:rPr>
          <w:rFonts w:ascii="Book Antiqua" w:hAnsi="Book Antiqua" w:cs="Tahoma"/>
          <w:sz w:val="24"/>
          <w:szCs w:val="24"/>
        </w:rPr>
        <w:t xml:space="preserve">. </w:t>
      </w:r>
    </w:p>
    <w:p w14:paraId="05B1D7A7" w14:textId="77777777" w:rsidR="00C37ACB" w:rsidRPr="00DD5C5F" w:rsidRDefault="00D85ABA" w:rsidP="005271FF">
      <w:pPr>
        <w:spacing w:after="0" w:line="240" w:lineRule="auto"/>
        <w:ind w:right="1" w:firstLine="851"/>
        <w:jc w:val="both"/>
        <w:rPr>
          <w:rFonts w:ascii="Book Antiqua" w:hAnsi="Book Antiqua" w:cs="Tahoma"/>
          <w:color w:val="000000" w:themeColor="text1"/>
          <w:sz w:val="24"/>
          <w:szCs w:val="24"/>
        </w:rPr>
      </w:pPr>
      <w:r w:rsidRPr="00DD5C5F">
        <w:rPr>
          <w:rFonts w:ascii="Book Antiqua" w:hAnsi="Book Antiqua" w:cs="Tahoma"/>
          <w:sz w:val="24"/>
          <w:szCs w:val="24"/>
        </w:rPr>
        <w:t xml:space="preserve">The decision of the Constitutional </w:t>
      </w:r>
      <w:r w:rsidR="009E6CF1" w:rsidRPr="00DD5C5F">
        <w:rPr>
          <w:rFonts w:ascii="Book Antiqua" w:hAnsi="Book Antiqua" w:cs="Tahoma"/>
          <w:sz w:val="24"/>
          <w:szCs w:val="24"/>
        </w:rPr>
        <w:t xml:space="preserve">Court determines the validity </w:t>
      </w:r>
      <w:r w:rsidRPr="00DD5C5F">
        <w:rPr>
          <w:rFonts w:ascii="Book Antiqua" w:hAnsi="Book Antiqua" w:cs="Tahoma"/>
          <w:sz w:val="24"/>
          <w:szCs w:val="24"/>
        </w:rPr>
        <w:t xml:space="preserve">of the executorial right </w:t>
      </w:r>
      <w:r w:rsidR="009E6CF1" w:rsidRPr="00DD5C5F">
        <w:rPr>
          <w:rFonts w:ascii="Book Antiqua" w:hAnsi="Book Antiqua" w:cs="Tahoma"/>
          <w:sz w:val="24"/>
          <w:szCs w:val="24"/>
        </w:rPr>
        <w:t>if it has</w:t>
      </w:r>
      <w:r w:rsidRPr="00DD5C5F">
        <w:rPr>
          <w:rFonts w:ascii="Book Antiqua" w:hAnsi="Book Antiqua" w:cs="Tahoma"/>
          <w:sz w:val="24"/>
          <w:szCs w:val="24"/>
        </w:rPr>
        <w:t>pemenuh</w:t>
      </w:r>
      <w:r w:rsidR="009E6CF1" w:rsidRPr="00DD5C5F">
        <w:rPr>
          <w:rFonts w:ascii="Book Antiqua" w:hAnsi="Book Antiqua" w:cs="Tahoma"/>
          <w:sz w:val="24"/>
          <w:szCs w:val="24"/>
        </w:rPr>
        <w:t>been fulfilled</w:t>
      </w:r>
      <w:r w:rsidRPr="00DD5C5F">
        <w:rPr>
          <w:rFonts w:ascii="Book Antiqua" w:hAnsi="Book Antiqua" w:cs="Tahoma"/>
          <w:sz w:val="24"/>
          <w:szCs w:val="24"/>
        </w:rPr>
        <w:t xml:space="preserve"> the conditions of the agreement of promise injury and voluntary surrender.</w:t>
      </w:r>
      <w:r w:rsidR="00926438" w:rsidRPr="00DD5C5F">
        <w:rPr>
          <w:rFonts w:ascii="Book Antiqua" w:hAnsi="Book Antiqua" w:cs="Tahoma"/>
          <w:sz w:val="24"/>
          <w:szCs w:val="24"/>
        </w:rPr>
        <w:t xml:space="preserve"> The legal consideration of the judge </w:t>
      </w:r>
      <w:r w:rsidR="00C37ACB" w:rsidRPr="00DD5C5F">
        <w:rPr>
          <w:rFonts w:ascii="Book Antiqua" w:hAnsi="Book Antiqua" w:cs="Tahoma"/>
          <w:sz w:val="24"/>
          <w:szCs w:val="24"/>
        </w:rPr>
        <w:t xml:space="preserve">in </w:t>
      </w:r>
      <w:r w:rsidR="00926438" w:rsidRPr="00DD5C5F">
        <w:rPr>
          <w:rFonts w:ascii="Book Antiqua" w:hAnsi="Book Antiqua" w:cs="Tahoma"/>
          <w:sz w:val="24"/>
          <w:szCs w:val="24"/>
        </w:rPr>
        <w:t xml:space="preserve">placing the requirement is </w:t>
      </w:r>
      <w:r w:rsidR="00C37ACB" w:rsidRPr="00DD5C5F">
        <w:rPr>
          <w:rFonts w:ascii="Book Antiqua" w:hAnsi="Book Antiqua" w:cs="Tahoma"/>
          <w:sz w:val="24"/>
          <w:szCs w:val="24"/>
        </w:rPr>
        <w:t xml:space="preserve">due to the unclear momentum of the promise injury from the case against the background of the Article 15 uujf judicial review so that there is a waiver of the debtor's rights because the debtor </w:t>
      </w:r>
      <w:r w:rsidR="00C37ACB" w:rsidRPr="00DD5C5F">
        <w:rPr>
          <w:rFonts w:ascii="Book Antiqua" w:hAnsi="Book Antiqua" w:cs="Tahoma"/>
          <w:color w:val="000000" w:themeColor="text1"/>
          <w:sz w:val="24"/>
          <w:szCs w:val="24"/>
        </w:rPr>
        <w:t>does not get the right to self-defense whether he commits a promise injury or not</w:t>
      </w:r>
      <w:r w:rsidR="00092F96" w:rsidRPr="00DD5C5F">
        <w:rPr>
          <w:rFonts w:ascii="Book Antiqua" w:hAnsi="Book Antiqua" w:cs="Tahoma"/>
          <w:color w:val="000000" w:themeColor="text1"/>
          <w:sz w:val="24"/>
          <w:szCs w:val="24"/>
        </w:rPr>
        <w:t>.</w:t>
      </w:r>
    </w:p>
    <w:p w14:paraId="12AAC603" w14:textId="77777777" w:rsidR="00D85ABA" w:rsidRPr="00DD5C5F" w:rsidRDefault="00926438" w:rsidP="005271FF">
      <w:pPr>
        <w:spacing w:after="0" w:line="240" w:lineRule="auto"/>
        <w:ind w:right="1" w:firstLine="567"/>
        <w:jc w:val="both"/>
        <w:rPr>
          <w:rFonts w:ascii="Book Antiqua" w:hAnsi="Book Antiqua" w:cs="Tahoma"/>
          <w:color w:val="000000" w:themeColor="text1"/>
          <w:sz w:val="24"/>
          <w:szCs w:val="24"/>
        </w:rPr>
      </w:pPr>
      <w:r w:rsidRPr="00DD5C5F">
        <w:rPr>
          <w:rFonts w:ascii="Book Antiqua" w:hAnsi="Book Antiqua" w:cs="Tahoma"/>
          <w:color w:val="000000" w:themeColor="text1"/>
          <w:sz w:val="24"/>
          <w:szCs w:val="24"/>
        </w:rPr>
        <w:t>In contract law,</w:t>
      </w:r>
      <w:r w:rsidR="00D85ABA" w:rsidRPr="00DD5C5F">
        <w:rPr>
          <w:rFonts w:ascii="Book Antiqua" w:hAnsi="Book Antiqua" w:cs="Tahoma"/>
          <w:color w:val="000000" w:themeColor="text1"/>
          <w:sz w:val="24"/>
          <w:szCs w:val="24"/>
        </w:rPr>
        <w:t xml:space="preserve"> </w:t>
      </w:r>
      <w:r w:rsidR="007219D1" w:rsidRPr="00DD5C5F">
        <w:rPr>
          <w:rFonts w:ascii="Book Antiqua" w:hAnsi="Book Antiqua" w:cs="Tahoma"/>
          <w:color w:val="000000" w:themeColor="text1"/>
          <w:sz w:val="24"/>
          <w:szCs w:val="24"/>
        </w:rPr>
        <w:t xml:space="preserve">Klausul </w:t>
      </w:r>
      <w:r w:rsidR="00D85ABA" w:rsidRPr="00DD5C5F">
        <w:rPr>
          <w:rFonts w:ascii="Book Antiqua" w:hAnsi="Book Antiqua" w:cs="Tahoma"/>
          <w:color w:val="000000" w:themeColor="text1"/>
          <w:sz w:val="24"/>
          <w:szCs w:val="24"/>
        </w:rPr>
        <w:t xml:space="preserve">cidera janji </w:t>
      </w:r>
      <w:r w:rsidRPr="00DD5C5F">
        <w:rPr>
          <w:rFonts w:ascii="Book Antiqua" w:hAnsi="Book Antiqua" w:cs="Tahoma"/>
          <w:color w:val="000000" w:themeColor="text1"/>
          <w:sz w:val="24"/>
          <w:szCs w:val="24"/>
        </w:rPr>
        <w:t xml:space="preserve">the promise injury clauseklausul </w:t>
      </w:r>
      <w:r w:rsidR="00D85ABA" w:rsidRPr="00DD5C5F">
        <w:rPr>
          <w:rFonts w:ascii="Book Antiqua" w:hAnsi="Book Antiqua" w:cs="Tahoma"/>
          <w:color w:val="000000" w:themeColor="text1"/>
          <w:sz w:val="24"/>
          <w:szCs w:val="24"/>
        </w:rPr>
        <w:t>is included in the naturalia clauses</w:t>
      </w:r>
      <w:r w:rsidR="007219D1" w:rsidRPr="00DD5C5F">
        <w:rPr>
          <w:rFonts w:ascii="Book Antiqua" w:hAnsi="Book Antiqua" w:cs="Tahoma"/>
          <w:color w:val="000000" w:themeColor="text1"/>
          <w:sz w:val="24"/>
          <w:szCs w:val="24"/>
        </w:rPr>
        <w:t>. Callus</w:t>
      </w:r>
      <w:r w:rsidRPr="00DD5C5F">
        <w:rPr>
          <w:rFonts w:ascii="Book Antiqua" w:hAnsi="Book Antiqua" w:cs="Tahoma"/>
          <w:color w:val="000000" w:themeColor="text1"/>
          <w:sz w:val="24"/>
          <w:szCs w:val="24"/>
        </w:rPr>
        <w:t>a</w:t>
      </w:r>
      <w:r w:rsidR="007219D1" w:rsidRPr="00DD5C5F">
        <w:rPr>
          <w:rFonts w:ascii="Book Antiqua" w:hAnsi="Book Antiqua" w:cs="Tahoma"/>
          <w:color w:val="000000" w:themeColor="text1"/>
          <w:sz w:val="24"/>
          <w:szCs w:val="24"/>
        </w:rPr>
        <w:t xml:space="preserve"> naturalia means that the clause should </w:t>
      </w:r>
      <w:r w:rsidR="008930E5" w:rsidRPr="00DD5C5F">
        <w:rPr>
          <w:rFonts w:ascii="Book Antiqua" w:hAnsi="Book Antiqua" w:cs="Tahoma"/>
          <w:color w:val="000000" w:themeColor="text1"/>
          <w:sz w:val="24"/>
          <w:szCs w:val="24"/>
        </w:rPr>
        <w:t xml:space="preserve">be present </w:t>
      </w:r>
      <w:r w:rsidR="007219D1" w:rsidRPr="00DD5C5F">
        <w:rPr>
          <w:rFonts w:ascii="Book Antiqua" w:hAnsi="Book Antiqua" w:cs="Tahoma"/>
          <w:color w:val="000000" w:themeColor="text1"/>
          <w:sz w:val="24"/>
          <w:szCs w:val="24"/>
        </w:rPr>
        <w:t xml:space="preserve">in </w:t>
      </w:r>
      <w:r w:rsidR="00D85ABA" w:rsidRPr="00DD5C5F">
        <w:rPr>
          <w:rFonts w:ascii="Book Antiqua" w:hAnsi="Book Antiqua" w:cs="Tahoma"/>
          <w:color w:val="000000" w:themeColor="text1"/>
          <w:sz w:val="24"/>
          <w:szCs w:val="24"/>
        </w:rPr>
        <w:t>an agreement</w:t>
      </w:r>
      <w:r w:rsidR="007219D1" w:rsidRPr="00DD5C5F">
        <w:rPr>
          <w:rFonts w:ascii="Book Antiqua" w:hAnsi="Book Antiqua" w:cs="Tahoma"/>
          <w:color w:val="000000" w:themeColor="text1"/>
          <w:sz w:val="24"/>
          <w:szCs w:val="24"/>
        </w:rPr>
        <w:t>.</w:t>
      </w:r>
      <w:r w:rsidR="00D85ABA" w:rsidRPr="00DD5C5F">
        <w:rPr>
          <w:rFonts w:ascii="Book Antiqua" w:hAnsi="Book Antiqua" w:cs="Tahoma"/>
          <w:color w:val="000000" w:themeColor="text1"/>
          <w:sz w:val="24"/>
          <w:szCs w:val="24"/>
        </w:rPr>
        <w:t xml:space="preserve"> </w:t>
      </w:r>
      <w:r w:rsidRPr="00DD5C5F">
        <w:rPr>
          <w:rFonts w:ascii="Book Antiqua" w:hAnsi="Book Antiqua" w:cs="Tahoma"/>
          <w:color w:val="000000" w:themeColor="text1"/>
          <w:sz w:val="24"/>
          <w:szCs w:val="24"/>
        </w:rPr>
        <w:t xml:space="preserve"> </w:t>
      </w:r>
      <w:r w:rsidR="00D85ABA" w:rsidRPr="00DD5C5F">
        <w:rPr>
          <w:rFonts w:ascii="Book Antiqua" w:hAnsi="Book Antiqua" w:cs="Tahoma"/>
          <w:color w:val="000000" w:themeColor="text1"/>
          <w:sz w:val="24"/>
          <w:szCs w:val="24"/>
        </w:rPr>
        <w:t>However, the absence</w:t>
      </w:r>
      <w:r w:rsidRPr="00DD5C5F">
        <w:rPr>
          <w:rFonts w:ascii="Book Antiqua" w:hAnsi="Book Antiqua" w:cs="Tahoma"/>
          <w:color w:val="000000" w:themeColor="text1"/>
          <w:sz w:val="24"/>
          <w:szCs w:val="24"/>
        </w:rPr>
        <w:t xml:space="preserve">of naturalia clauses </w:t>
      </w:r>
      <w:r w:rsidR="00D85ABA" w:rsidRPr="00DD5C5F">
        <w:rPr>
          <w:rFonts w:ascii="Book Antiqua" w:hAnsi="Book Antiqua" w:cs="Tahoma"/>
          <w:color w:val="000000" w:themeColor="text1"/>
          <w:sz w:val="24"/>
          <w:szCs w:val="24"/>
        </w:rPr>
        <w:t>does not invalidate an alliance.</w:t>
      </w:r>
      <w:r w:rsidR="008930E5" w:rsidRPr="00DD5C5F">
        <w:rPr>
          <w:rFonts w:ascii="Book Antiqua" w:hAnsi="Book Antiqua" w:cs="Tahoma"/>
          <w:color w:val="000000" w:themeColor="text1"/>
          <w:sz w:val="24"/>
          <w:szCs w:val="24"/>
        </w:rPr>
        <w:t xml:space="preserve"> </w:t>
      </w:r>
      <w:r w:rsidR="00D85ABA" w:rsidRPr="00DD5C5F">
        <w:rPr>
          <w:rFonts w:ascii="Book Antiqua" w:hAnsi="Book Antiqua" w:cs="Tahoma"/>
          <w:color w:val="000000" w:themeColor="text1"/>
          <w:sz w:val="24"/>
          <w:szCs w:val="24"/>
        </w:rPr>
        <w:t xml:space="preserve">The parameters of the promise injury became a question in the view of the Constitutional Court Judge. Under the Civil Code, the parameters of a person injury pledge or not are based on the provisions of Article 1238 of the Civil Code which states : </w:t>
      </w:r>
    </w:p>
    <w:p w14:paraId="3C7B183D" w14:textId="77777777" w:rsidR="00D85ABA" w:rsidRPr="00DD5C5F" w:rsidRDefault="00D85ABA" w:rsidP="005271FF">
      <w:pPr>
        <w:spacing w:after="0" w:line="240" w:lineRule="auto"/>
        <w:ind w:right="567" w:firstLine="567"/>
        <w:jc w:val="both"/>
        <w:rPr>
          <w:rFonts w:ascii="Book Antiqua" w:hAnsi="Book Antiqua" w:cs="Tahoma"/>
          <w:i/>
          <w:color w:val="000000" w:themeColor="text1"/>
          <w:sz w:val="24"/>
          <w:szCs w:val="24"/>
        </w:rPr>
      </w:pPr>
      <w:r w:rsidRPr="00DD5C5F">
        <w:rPr>
          <w:rFonts w:ascii="Book Antiqua" w:hAnsi="Book Antiqua" w:cs="Tahoma"/>
          <w:color w:val="000000" w:themeColor="text1"/>
          <w:sz w:val="24"/>
          <w:szCs w:val="24"/>
        </w:rPr>
        <w:t xml:space="preserve"> "</w:t>
      </w:r>
      <w:r w:rsidRPr="00DD5C5F">
        <w:rPr>
          <w:rFonts w:ascii="Book Antiqua" w:hAnsi="Book Antiqua" w:cs="Tahoma"/>
          <w:i/>
          <w:color w:val="000000" w:themeColor="text1"/>
          <w:sz w:val="24"/>
          <w:szCs w:val="24"/>
        </w:rPr>
        <w:t>The debtor is negligent, if he By warrant or by a deed of the like has been declared negligent, or by his own bond, is if this stipulates, that the debtor shall be deemed negligent by the lapse of the prescribed time.”</w:t>
      </w:r>
    </w:p>
    <w:p w14:paraId="595DAA02" w14:textId="127AA11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color w:val="000000" w:themeColor="text1"/>
          <w:sz w:val="24"/>
          <w:szCs w:val="24"/>
        </w:rPr>
        <w:t xml:space="preserve">The understanding of promise injury based on Article 1238 above becomes the general understanding of Jurists. Just like J.Satrio argues that the default parameters </w:t>
      </w:r>
      <w:r w:rsidRPr="00DD5C5F">
        <w:rPr>
          <w:rFonts w:ascii="Book Antiqua" w:hAnsi="Book Antiqua" w:cs="Tahoma"/>
          <w:sz w:val="24"/>
          <w:szCs w:val="24"/>
        </w:rPr>
        <w:t>are determined based on Article 1238 of the civil code, namely if the debtor is negligent and has been subpoenaed (reprimanded) face to face does not carry out its obligations or for its own sake is considered negligent due to the lapse of a predetermined time.</w:t>
      </w:r>
      <w:r w:rsidR="00A61653">
        <w:rPr>
          <w:rStyle w:val="FootnoteReference"/>
          <w:rFonts w:ascii="Book Antiqua" w:hAnsi="Book Antiqua" w:cs="Tahoma"/>
          <w:sz w:val="24"/>
          <w:szCs w:val="24"/>
        </w:rPr>
        <w:footnoteReference w:id="12"/>
      </w:r>
    </w:p>
    <w:p w14:paraId="7950045C"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 xml:space="preserve">Based on Article 1238 of the Civil Code, of course the creditor is obliged to make a warning (subpoena) first to be able to declare it has been injured or set a deadline for the implementation of obligations in the agreement. In practice the placement of the deadline for execution of obligations is characterized by a limit on installment payments or debt. With the observance of this time, if the debtor passes it, based on Article 1238 of the Civil Code, it is considered to be in a state of default. </w:t>
      </w:r>
    </w:p>
    <w:p w14:paraId="0DC4445F"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 xml:space="preserve">Based on the above understanding, the </w:t>
      </w:r>
      <w:r w:rsidR="000D1BA7" w:rsidRPr="00DD5C5F">
        <w:rPr>
          <w:rFonts w:ascii="Book Antiqua" w:hAnsi="Book Antiqua" w:cs="Tahoma"/>
          <w:sz w:val="24"/>
          <w:szCs w:val="24"/>
        </w:rPr>
        <w:t xml:space="preserve">seharusnya </w:t>
      </w:r>
      <w:r w:rsidRPr="00DD5C5F">
        <w:rPr>
          <w:rFonts w:ascii="Book Antiqua" w:hAnsi="Book Antiqua" w:cs="Tahoma"/>
          <w:sz w:val="24"/>
          <w:szCs w:val="24"/>
        </w:rPr>
        <w:t xml:space="preserve">problem should not be the absence of a promise injury clause </w:t>
      </w:r>
      <w:r w:rsidR="000D1BA7" w:rsidRPr="00DD5C5F">
        <w:rPr>
          <w:rFonts w:ascii="Book Antiqua" w:hAnsi="Book Antiqua" w:cs="Tahoma"/>
          <w:sz w:val="24"/>
          <w:szCs w:val="24"/>
        </w:rPr>
        <w:t>in</w:t>
      </w:r>
      <w:r w:rsidRPr="00DD5C5F">
        <w:rPr>
          <w:rFonts w:ascii="Book Antiqua" w:hAnsi="Book Antiqua" w:cs="Tahoma"/>
          <w:sz w:val="24"/>
          <w:szCs w:val="24"/>
        </w:rPr>
        <w:t xml:space="preserve"> the main agreement but the debtor's ignorance akanof the debt payment deadline. This is possible because the standard agreement as the principal agreement proffered by the debtor is not read or not explained so that it is not understood by the debtor. For this</w:t>
      </w:r>
      <w:r w:rsidR="000D1BA7" w:rsidRPr="00DD5C5F">
        <w:rPr>
          <w:rFonts w:ascii="Book Antiqua" w:hAnsi="Book Antiqua" w:cs="Tahoma"/>
          <w:sz w:val="24"/>
          <w:szCs w:val="24"/>
        </w:rPr>
        <w:t>reason,</w:t>
      </w:r>
      <w:r w:rsidRPr="00DD5C5F">
        <w:rPr>
          <w:rFonts w:ascii="Book Antiqua" w:hAnsi="Book Antiqua" w:cs="Tahoma"/>
          <w:sz w:val="24"/>
          <w:szCs w:val="24"/>
        </w:rPr>
        <w:t xml:space="preserve"> the Financial Services Authority Regulation Number 35 of 2018 concerning the business operation of Finance Companies has ordered finance companies to explain the contents of the agreement to debtors so that misunderstanding of the contents of the agreement can no longer be used as a reason for a default dispute. </w:t>
      </w:r>
    </w:p>
    <w:p w14:paraId="3D7FA93C"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 xml:space="preserve">In the Amar decision, the Constitutional </w:t>
      </w:r>
      <w:r w:rsidR="000D1BA7" w:rsidRPr="00DD5C5F">
        <w:rPr>
          <w:rFonts w:ascii="Book Antiqua" w:hAnsi="Book Antiqua" w:cs="Tahoma"/>
          <w:sz w:val="24"/>
          <w:szCs w:val="24"/>
        </w:rPr>
        <w:t>Court applies the executorial right if the voluntary surrender</w:t>
      </w:r>
      <w:r w:rsidRPr="00DD5C5F">
        <w:rPr>
          <w:rFonts w:ascii="Book Antiqua" w:hAnsi="Book Antiqua" w:cs="Tahoma"/>
          <w:sz w:val="24"/>
          <w:szCs w:val="24"/>
        </w:rPr>
        <w:t xml:space="preserve"> is contrary to the nature of the executorial right itself. executorial rights are provisions in the realm of execution.  It has been previously explained that execution can be done if :</w:t>
      </w:r>
    </w:p>
    <w:p w14:paraId="658C2987" w14:textId="77777777" w:rsidR="00D85ABA" w:rsidRPr="00DD5C5F" w:rsidRDefault="00D85ABA" w:rsidP="007F449B">
      <w:pPr>
        <w:pStyle w:val="ListParagraph"/>
        <w:numPr>
          <w:ilvl w:val="0"/>
          <w:numId w:val="27"/>
        </w:numPr>
        <w:ind w:left="1134" w:right="1" w:hanging="283"/>
        <w:jc w:val="both"/>
        <w:rPr>
          <w:rFonts w:ascii="Book Antiqua" w:hAnsi="Book Antiqua" w:cs="Tahoma"/>
          <w:sz w:val="24"/>
          <w:szCs w:val="24"/>
        </w:rPr>
      </w:pPr>
      <w:r w:rsidRPr="00DD5C5F">
        <w:rPr>
          <w:rFonts w:ascii="Book Antiqua" w:hAnsi="Book Antiqua" w:cs="Tahoma"/>
          <w:sz w:val="24"/>
          <w:szCs w:val="24"/>
        </w:rPr>
        <w:t xml:space="preserve">In order to carry out a court decision that already has a permanent legal power. At material guarantees the law provides for exceptions on this general basis. Execution is not to execute a court decision that has legal force but rather </w:t>
      </w:r>
      <w:r w:rsidRPr="00DD5C5F">
        <w:rPr>
          <w:rFonts w:ascii="Book Antiqua" w:hAnsi="Book Antiqua" w:cs="Tahoma"/>
          <w:noProof/>
          <w:sz w:val="24"/>
          <w:szCs w:val="24"/>
        </w:rPr>
        <w:t>to carry out the implementation of the form of a product that is “equated” by law with a decision that has gained permanent legal force.</w:t>
      </w:r>
    </w:p>
    <w:p w14:paraId="4D220BDD" w14:textId="77777777" w:rsidR="00D85ABA" w:rsidRPr="00DD5C5F" w:rsidRDefault="00D85ABA" w:rsidP="007F449B">
      <w:pPr>
        <w:pStyle w:val="ListParagraph"/>
        <w:numPr>
          <w:ilvl w:val="0"/>
          <w:numId w:val="27"/>
        </w:numPr>
        <w:ind w:left="1134" w:right="1" w:hanging="283"/>
        <w:jc w:val="both"/>
        <w:rPr>
          <w:rFonts w:ascii="Book Antiqua" w:hAnsi="Book Antiqua" w:cs="Tahoma"/>
          <w:sz w:val="24"/>
          <w:szCs w:val="24"/>
        </w:rPr>
      </w:pPr>
      <w:r w:rsidRPr="00DD5C5F">
        <w:rPr>
          <w:rFonts w:ascii="Book Antiqua" w:hAnsi="Book Antiqua" w:cs="Tahoma"/>
          <w:noProof/>
          <w:sz w:val="24"/>
          <w:szCs w:val="24"/>
        </w:rPr>
        <w:t>The verdict is also condemnatory. The decision of the condemnator is a decision that is “punitive". Each decision of this condemnator by itself has executorial power (it can be implemented by force by the general power).</w:t>
      </w:r>
    </w:p>
    <w:p w14:paraId="2E2E05BD" w14:textId="77777777" w:rsidR="00D85ABA" w:rsidRPr="00DD5C5F" w:rsidRDefault="00D85ABA" w:rsidP="007F449B">
      <w:pPr>
        <w:pStyle w:val="ListParagraph"/>
        <w:numPr>
          <w:ilvl w:val="0"/>
          <w:numId w:val="27"/>
        </w:numPr>
        <w:ind w:left="1134" w:right="1" w:hanging="283"/>
        <w:jc w:val="both"/>
        <w:rPr>
          <w:rFonts w:ascii="Book Antiqua" w:hAnsi="Book Antiqua" w:cs="Tahoma"/>
          <w:sz w:val="24"/>
          <w:szCs w:val="24"/>
        </w:rPr>
      </w:pPr>
      <w:r w:rsidRPr="00DD5C5F">
        <w:rPr>
          <w:rFonts w:ascii="Book Antiqua" w:hAnsi="Book Antiqua" w:cs="Tahoma"/>
          <w:noProof/>
          <w:sz w:val="24"/>
          <w:szCs w:val="24"/>
        </w:rPr>
        <w:t xml:space="preserve">The decision must not be carried out voluntarily. A new execution will appear if the defendant does not execute the verdict voluntarily. </w:t>
      </w:r>
    </w:p>
    <w:p w14:paraId="369EDF14"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From the provisions of this execution, it appears that the decision of the Constitutional Court which ordered the voluntary surrender conditions contrary to the provisions</w:t>
      </w:r>
      <w:r w:rsidR="00862C6A" w:rsidRPr="00DD5C5F">
        <w:rPr>
          <w:rFonts w:ascii="Book Antiqua" w:hAnsi="Book Antiqua" w:cs="Tahoma"/>
          <w:sz w:val="24"/>
          <w:szCs w:val="24"/>
        </w:rPr>
        <w:t>of the execution sanaan. That is</w:t>
      </w:r>
      <w:r w:rsidRPr="00DD5C5F">
        <w:rPr>
          <w:rFonts w:ascii="Book Antiqua" w:hAnsi="Book Antiqua" w:cs="Tahoma"/>
          <w:sz w:val="24"/>
          <w:szCs w:val="24"/>
        </w:rPr>
        <w:t>rtinya</w:t>
      </w:r>
      <w:r w:rsidR="00862C6A" w:rsidRPr="00DD5C5F">
        <w:rPr>
          <w:rFonts w:ascii="Book Antiqua" w:hAnsi="Book Antiqua" w:cs="Tahoma"/>
          <w:sz w:val="24"/>
          <w:szCs w:val="24"/>
        </w:rPr>
        <w:t>,</w:t>
      </w:r>
      <w:r w:rsidRPr="00DD5C5F">
        <w:rPr>
          <w:rFonts w:ascii="Book Antiqua" w:hAnsi="Book Antiqua" w:cs="Tahoma"/>
          <w:sz w:val="24"/>
          <w:szCs w:val="24"/>
        </w:rPr>
        <w:t xml:space="preserve"> with the requirement of voluntary surrender in the execution, it actually negates the execution because the new execution will appear if the verdict is not executed voluntarily. With this contrary arrangement, the legal certainty that served</w:t>
      </w:r>
      <w:r w:rsidR="000D1BA7" w:rsidRPr="00DD5C5F">
        <w:rPr>
          <w:rFonts w:ascii="Book Antiqua" w:hAnsi="Book Antiqua" w:cs="Tahoma"/>
          <w:sz w:val="24"/>
          <w:szCs w:val="24"/>
        </w:rPr>
        <w:t>the purpose of the establishment of the UUJF disappeared.</w:t>
      </w:r>
      <w:r w:rsidRPr="00DD5C5F">
        <w:rPr>
          <w:rFonts w:ascii="Book Antiqua" w:hAnsi="Book Antiqua" w:cs="Tahoma"/>
          <w:sz w:val="24"/>
          <w:szCs w:val="24"/>
        </w:rPr>
        <w:t xml:space="preserve"> </w:t>
      </w:r>
    </w:p>
    <w:p w14:paraId="07E0DDAF" w14:textId="77E75812" w:rsidR="00D85ABA" w:rsidRPr="00DD5C5F" w:rsidRDefault="00D85ABA" w:rsidP="005271FF">
      <w:pPr>
        <w:spacing w:after="0" w:line="240" w:lineRule="auto"/>
        <w:ind w:firstLine="567"/>
        <w:jc w:val="both"/>
        <w:rPr>
          <w:rFonts w:ascii="Book Antiqua" w:hAnsi="Book Antiqua" w:cs="Tahoma"/>
          <w:sz w:val="24"/>
          <w:szCs w:val="24"/>
        </w:rPr>
      </w:pPr>
      <w:r w:rsidRPr="00DD5C5F">
        <w:rPr>
          <w:rFonts w:ascii="Book Antiqua" w:hAnsi="Book Antiqua" w:cs="Tahoma"/>
          <w:sz w:val="24"/>
          <w:szCs w:val="24"/>
        </w:rPr>
        <w:t>Satjipto Raharjo said that to really ensure legal certainty. peraturanlegislation in addition must meet the formal requirements. must meet other conditions. namely:</w:t>
      </w:r>
      <w:r w:rsidR="00A61653">
        <w:rPr>
          <w:rStyle w:val="FootnoteReference"/>
          <w:rFonts w:ascii="Book Antiqua" w:hAnsi="Book Antiqua" w:cs="Tahoma"/>
          <w:sz w:val="24"/>
          <w:szCs w:val="24"/>
        </w:rPr>
        <w:footnoteReference w:id="13"/>
      </w:r>
    </w:p>
    <w:p w14:paraId="58A526C3" w14:textId="77777777" w:rsidR="00D85ABA" w:rsidRPr="00DD5C5F" w:rsidRDefault="00D85ABA" w:rsidP="007F449B">
      <w:pPr>
        <w:pStyle w:val="ListParagraph"/>
        <w:widowControl/>
        <w:numPr>
          <w:ilvl w:val="0"/>
          <w:numId w:val="12"/>
        </w:numPr>
        <w:autoSpaceDE/>
        <w:autoSpaceDN/>
        <w:ind w:left="1134" w:hanging="283"/>
        <w:contextualSpacing/>
        <w:jc w:val="both"/>
        <w:rPr>
          <w:rFonts w:ascii="Book Antiqua" w:hAnsi="Book Antiqua" w:cs="Tahoma"/>
          <w:sz w:val="24"/>
          <w:szCs w:val="24"/>
        </w:rPr>
      </w:pPr>
      <w:r w:rsidRPr="00DD5C5F">
        <w:rPr>
          <w:rFonts w:ascii="Book Antiqua" w:hAnsi="Book Antiqua" w:cs="Tahoma"/>
          <w:sz w:val="24"/>
          <w:szCs w:val="24"/>
        </w:rPr>
        <w:t xml:space="preserve">Jelas dalam perumusannya (unambiguous). </w:t>
      </w:r>
    </w:p>
    <w:p w14:paraId="52CCFCC7" w14:textId="77777777" w:rsidR="004B1C1F" w:rsidRPr="00DD5C5F" w:rsidRDefault="00D85ABA" w:rsidP="007F449B">
      <w:pPr>
        <w:pStyle w:val="ListParagraph"/>
        <w:widowControl/>
        <w:numPr>
          <w:ilvl w:val="0"/>
          <w:numId w:val="12"/>
        </w:numPr>
        <w:autoSpaceDE/>
        <w:autoSpaceDN/>
        <w:ind w:left="1134" w:hanging="283"/>
        <w:contextualSpacing/>
        <w:jc w:val="both"/>
        <w:rPr>
          <w:rFonts w:ascii="Book Antiqua" w:hAnsi="Book Antiqua" w:cs="Tahoma"/>
          <w:sz w:val="24"/>
          <w:szCs w:val="24"/>
        </w:rPr>
      </w:pPr>
      <w:r w:rsidRPr="00DD5C5F">
        <w:rPr>
          <w:rFonts w:ascii="Book Antiqua" w:hAnsi="Book Antiqua" w:cs="Tahoma"/>
          <w:sz w:val="24"/>
          <w:szCs w:val="24"/>
        </w:rPr>
        <w:t xml:space="preserve">Consistent in its formulation-both internally and externally. </w:t>
      </w:r>
    </w:p>
    <w:p w14:paraId="1D0A3463" w14:textId="77777777" w:rsidR="00747A22" w:rsidRPr="00DD5C5F" w:rsidRDefault="00D85ABA" w:rsidP="007F449B">
      <w:pPr>
        <w:pStyle w:val="ListParagraph"/>
        <w:widowControl/>
        <w:autoSpaceDE/>
        <w:autoSpaceDN/>
        <w:ind w:left="1134" w:firstLine="0"/>
        <w:contextualSpacing/>
        <w:jc w:val="both"/>
        <w:rPr>
          <w:rFonts w:ascii="Book Antiqua" w:hAnsi="Book Antiqua" w:cs="Tahoma"/>
          <w:sz w:val="24"/>
          <w:szCs w:val="24"/>
        </w:rPr>
      </w:pPr>
      <w:r w:rsidRPr="00DD5C5F">
        <w:rPr>
          <w:rFonts w:ascii="Book Antiqua" w:hAnsi="Book Antiqua" w:cs="Tahoma"/>
          <w:sz w:val="24"/>
          <w:szCs w:val="24"/>
        </w:rPr>
        <w:t>Internally consistent implies that in the same legislation must be maintained siethematic relationship between the rules. order and language. Consistently eketern. is the existence of a relationship of “harmonization " between the various laws and regulations.</w:t>
      </w:r>
    </w:p>
    <w:p w14:paraId="2B88887E" w14:textId="77777777" w:rsidR="00D85ABA" w:rsidRPr="00DD5C5F" w:rsidRDefault="00D85ABA" w:rsidP="007F449B">
      <w:pPr>
        <w:pStyle w:val="ListParagraph"/>
        <w:widowControl/>
        <w:numPr>
          <w:ilvl w:val="0"/>
          <w:numId w:val="12"/>
        </w:numPr>
        <w:autoSpaceDE/>
        <w:autoSpaceDN/>
        <w:ind w:left="1134" w:hanging="283"/>
        <w:contextualSpacing/>
        <w:jc w:val="both"/>
        <w:rPr>
          <w:rFonts w:ascii="Book Antiqua" w:hAnsi="Book Antiqua" w:cs="Tahoma"/>
          <w:sz w:val="24"/>
          <w:szCs w:val="24"/>
        </w:rPr>
      </w:pPr>
      <w:r w:rsidRPr="00DD5C5F">
        <w:rPr>
          <w:rFonts w:ascii="Book Antiqua" w:hAnsi="Book Antiqua" w:cs="Tahoma"/>
          <w:sz w:val="24"/>
          <w:szCs w:val="24"/>
        </w:rPr>
        <w:t>The use of appropriate language and easy to understand. The language of legislation must be the language commonly used by the community.</w:t>
      </w:r>
    </w:p>
    <w:p w14:paraId="2FE90B0A" w14:textId="768820EF"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In the amar ruling, the Constitutional Court gave the argument that the legislator was too focused on legal protection for one party only, namely creditors, so that there was no balance in the regulation of the law. The fiduciary agreement is an accessoir agreement that follows the main agreement, namely a credit agreement or a debt-debt agreement. This type of agreement has a great risk of default / injury of the debtor's promise. The creditor is a party that is very disadvantaged if the debtor defaults. For this reason, the creditor must carry out the credit activity by paying attention to the principles of healthy credit, including:</w:t>
      </w:r>
      <w:r w:rsidR="00A61653">
        <w:rPr>
          <w:rStyle w:val="FootnoteReference"/>
          <w:rFonts w:ascii="Book Antiqua" w:hAnsi="Book Antiqua" w:cs="Tahoma"/>
          <w:sz w:val="24"/>
          <w:szCs w:val="24"/>
        </w:rPr>
        <w:footnoteReference w:id="14"/>
      </w:r>
    </w:p>
    <w:p w14:paraId="1A593A21" w14:textId="77777777" w:rsidR="00D85ABA" w:rsidRPr="00DD5C5F" w:rsidRDefault="00D85ABA" w:rsidP="007F449B">
      <w:pPr>
        <w:pStyle w:val="ListParagraph"/>
        <w:numPr>
          <w:ilvl w:val="0"/>
          <w:numId w:val="29"/>
        </w:numPr>
        <w:ind w:left="1134" w:right="1" w:hanging="283"/>
        <w:jc w:val="both"/>
        <w:rPr>
          <w:rFonts w:ascii="Book Antiqua" w:hAnsi="Book Antiqua" w:cs="Tahoma"/>
          <w:sz w:val="24"/>
          <w:szCs w:val="24"/>
        </w:rPr>
      </w:pPr>
      <w:r w:rsidRPr="00DD5C5F">
        <w:rPr>
          <w:rFonts w:ascii="Book Antiqua" w:hAnsi="Book Antiqua" w:cs="Tahoma"/>
          <w:sz w:val="24"/>
          <w:szCs w:val="24"/>
        </w:rPr>
        <w:t>Not allowed to provide credit facilities without a written agreement</w:t>
      </w:r>
    </w:p>
    <w:p w14:paraId="6C17C001" w14:textId="77777777" w:rsidR="00D85ABA" w:rsidRPr="00DD5C5F" w:rsidRDefault="00D85ABA" w:rsidP="007F449B">
      <w:pPr>
        <w:pStyle w:val="ListParagraph"/>
        <w:numPr>
          <w:ilvl w:val="0"/>
          <w:numId w:val="29"/>
        </w:numPr>
        <w:ind w:left="1134" w:right="1" w:hanging="283"/>
        <w:jc w:val="both"/>
        <w:rPr>
          <w:rFonts w:ascii="Book Antiqua" w:hAnsi="Book Antiqua" w:cs="Tahoma"/>
          <w:sz w:val="24"/>
          <w:szCs w:val="24"/>
        </w:rPr>
      </w:pPr>
      <w:r w:rsidRPr="00DD5C5F">
        <w:rPr>
          <w:rFonts w:ascii="Book Antiqua" w:hAnsi="Book Antiqua" w:cs="Tahoma"/>
          <w:sz w:val="24"/>
          <w:szCs w:val="24"/>
        </w:rPr>
        <w:t>Not allowed to give credit to people / businesses that are considered unhealthy</w:t>
      </w:r>
    </w:p>
    <w:p w14:paraId="662DD328" w14:textId="77777777" w:rsidR="00D85ABA" w:rsidRPr="00DD5C5F" w:rsidRDefault="00D85ABA" w:rsidP="007F449B">
      <w:pPr>
        <w:pStyle w:val="ListParagraph"/>
        <w:numPr>
          <w:ilvl w:val="0"/>
          <w:numId w:val="29"/>
        </w:numPr>
        <w:ind w:left="1134" w:right="1" w:hanging="283"/>
        <w:jc w:val="both"/>
        <w:rPr>
          <w:rFonts w:ascii="Book Antiqua" w:hAnsi="Book Antiqua" w:cs="Tahoma"/>
          <w:sz w:val="24"/>
          <w:szCs w:val="24"/>
        </w:rPr>
      </w:pPr>
      <w:r w:rsidRPr="00DD5C5F">
        <w:rPr>
          <w:rFonts w:ascii="Book Antiqua" w:hAnsi="Book Antiqua" w:cs="Tahoma"/>
          <w:sz w:val="24"/>
          <w:szCs w:val="24"/>
        </w:rPr>
        <w:t>Not allowed to give credit for the purchase of shares and working capital in jula buy shares</w:t>
      </w:r>
    </w:p>
    <w:p w14:paraId="070A9BD9" w14:textId="77777777" w:rsidR="00D85ABA" w:rsidRPr="00DD5C5F" w:rsidRDefault="00D85ABA" w:rsidP="007F449B">
      <w:pPr>
        <w:pStyle w:val="ListParagraph"/>
        <w:numPr>
          <w:ilvl w:val="0"/>
          <w:numId w:val="29"/>
        </w:numPr>
        <w:ind w:left="1134" w:right="1" w:hanging="283"/>
        <w:jc w:val="both"/>
        <w:rPr>
          <w:rFonts w:ascii="Book Antiqua" w:hAnsi="Book Antiqua" w:cs="Tahoma"/>
          <w:sz w:val="24"/>
          <w:szCs w:val="24"/>
        </w:rPr>
      </w:pPr>
      <w:r w:rsidRPr="00DD5C5F">
        <w:rPr>
          <w:rFonts w:ascii="Book Antiqua" w:hAnsi="Book Antiqua" w:cs="Tahoma"/>
          <w:sz w:val="24"/>
          <w:szCs w:val="24"/>
        </w:rPr>
        <w:t>Not allowed to give credit beyond the maximum limit pebiayaan.</w:t>
      </w:r>
    </w:p>
    <w:p w14:paraId="3D09800A"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 xml:space="preserve">To reduce the risk of large losses that will be experienced by creditors, it </w:t>
      </w:r>
      <w:r w:rsidR="000D1BA7" w:rsidRPr="00DD5C5F">
        <w:rPr>
          <w:rFonts w:ascii="Book Antiqua" w:hAnsi="Book Antiqua" w:cs="Tahoma"/>
          <w:sz w:val="24"/>
          <w:szCs w:val="24"/>
        </w:rPr>
        <w:t>is necessary</w:t>
      </w:r>
      <w:r w:rsidRPr="00DD5C5F">
        <w:rPr>
          <w:rFonts w:ascii="Book Antiqua" w:hAnsi="Book Antiqua" w:cs="Tahoma"/>
          <w:sz w:val="24"/>
          <w:szCs w:val="24"/>
        </w:rPr>
        <w:t xml:space="preserve"> </w:t>
      </w:r>
      <w:r w:rsidR="000D1BA7" w:rsidRPr="00DD5C5F">
        <w:rPr>
          <w:rFonts w:ascii="Book Antiqua" w:hAnsi="Book Antiqua" w:cs="Tahoma"/>
          <w:sz w:val="24"/>
          <w:szCs w:val="24"/>
        </w:rPr>
        <w:t>to guarantee</w:t>
      </w:r>
      <w:r w:rsidRPr="00DD5C5F">
        <w:rPr>
          <w:rFonts w:ascii="Book Antiqua" w:hAnsi="Book Antiqua" w:cs="Tahoma"/>
          <w:sz w:val="24"/>
          <w:szCs w:val="24"/>
        </w:rPr>
        <w:t xml:space="preserve">. </w:t>
      </w:r>
      <w:r w:rsidR="000D1BA7" w:rsidRPr="00DD5C5F">
        <w:rPr>
          <w:rFonts w:ascii="Book Antiqua" w:hAnsi="Book Antiqua" w:cs="Tahoma"/>
          <w:sz w:val="24"/>
          <w:szCs w:val="24"/>
        </w:rPr>
        <w:t>J</w:t>
      </w:r>
      <w:r w:rsidRPr="00DD5C5F">
        <w:rPr>
          <w:rFonts w:ascii="Book Antiqua" w:hAnsi="Book Antiqua" w:cs="Tahoma"/>
          <w:sz w:val="24"/>
          <w:szCs w:val="24"/>
        </w:rPr>
        <w:t xml:space="preserve">aminan is generally </w:t>
      </w:r>
      <w:r w:rsidR="000D1BA7" w:rsidRPr="00DD5C5F">
        <w:rPr>
          <w:rFonts w:ascii="Book Antiqua" w:hAnsi="Book Antiqua" w:cs="Tahoma"/>
          <w:sz w:val="24"/>
          <w:szCs w:val="24"/>
        </w:rPr>
        <w:t>regulated in</w:t>
      </w:r>
      <w:r w:rsidRPr="00DD5C5F">
        <w:rPr>
          <w:rFonts w:ascii="Book Antiqua" w:hAnsi="Book Antiqua" w:cs="Tahoma"/>
          <w:sz w:val="24"/>
          <w:szCs w:val="24"/>
        </w:rPr>
        <w:t xml:space="preserve"> Article 1131 of the Civil Code. </w:t>
      </w:r>
      <w:r w:rsidR="000D1BA7" w:rsidRPr="00DD5C5F">
        <w:rPr>
          <w:rFonts w:ascii="Book Antiqua" w:hAnsi="Book Antiqua" w:cs="Tahoma"/>
          <w:sz w:val="24"/>
          <w:szCs w:val="24"/>
        </w:rPr>
        <w:t xml:space="preserve">The legislator realized that </w:t>
      </w:r>
      <w:r w:rsidRPr="00DD5C5F">
        <w:rPr>
          <w:rFonts w:ascii="Book Antiqua" w:hAnsi="Book Antiqua" w:cs="Tahoma"/>
          <w:sz w:val="24"/>
          <w:szCs w:val="24"/>
        </w:rPr>
        <w:t>the general guarantee was not</w:t>
      </w:r>
      <w:r w:rsidR="000D1BA7" w:rsidRPr="00DD5C5F">
        <w:rPr>
          <w:rFonts w:ascii="Book Antiqua" w:hAnsi="Book Antiqua" w:cs="Tahoma"/>
          <w:sz w:val="24"/>
          <w:szCs w:val="24"/>
        </w:rPr>
        <w:t xml:space="preserve"> </w:t>
      </w:r>
      <w:r w:rsidRPr="00DD5C5F">
        <w:rPr>
          <w:rFonts w:ascii="Book Antiqua" w:hAnsi="Book Antiqua" w:cs="Tahoma"/>
          <w:sz w:val="24"/>
          <w:szCs w:val="24"/>
        </w:rPr>
        <w:t xml:space="preserve">enough to protect creditors </w:t>
      </w:r>
      <w:r w:rsidR="00A44521" w:rsidRPr="00DD5C5F">
        <w:rPr>
          <w:rFonts w:ascii="Book Antiqua" w:hAnsi="Book Antiqua" w:cs="Tahoma"/>
          <w:sz w:val="24"/>
          <w:szCs w:val="24"/>
        </w:rPr>
        <w:t>because of the great risk. U</w:t>
      </w:r>
      <w:r w:rsidRPr="00DD5C5F">
        <w:rPr>
          <w:rFonts w:ascii="Book Antiqua" w:hAnsi="Book Antiqua" w:cs="Tahoma"/>
          <w:sz w:val="24"/>
          <w:szCs w:val="24"/>
        </w:rPr>
        <w:t>For that</w:t>
      </w:r>
      <w:r w:rsidR="00A44521" w:rsidRPr="00DD5C5F">
        <w:rPr>
          <w:rFonts w:ascii="Book Antiqua" w:hAnsi="Book Antiqua" w:cs="Tahoma"/>
          <w:sz w:val="24"/>
          <w:szCs w:val="24"/>
        </w:rPr>
        <w:t>,</w:t>
      </w:r>
      <w:r w:rsidRPr="00DD5C5F">
        <w:rPr>
          <w:rFonts w:ascii="Book Antiqua" w:hAnsi="Book Antiqua" w:cs="Tahoma"/>
          <w:sz w:val="24"/>
          <w:szCs w:val="24"/>
        </w:rPr>
        <w:t xml:space="preserve"> </w:t>
      </w:r>
      <w:r w:rsidR="00A44521" w:rsidRPr="00DD5C5F">
        <w:rPr>
          <w:rFonts w:ascii="Book Antiqua" w:hAnsi="Book Antiqua" w:cs="Tahoma"/>
          <w:sz w:val="24"/>
          <w:szCs w:val="24"/>
        </w:rPr>
        <w:t xml:space="preserve">there needs to be a special </w:t>
      </w:r>
      <w:r w:rsidRPr="00DD5C5F">
        <w:rPr>
          <w:rFonts w:ascii="Book Antiqua" w:hAnsi="Book Antiqua" w:cs="Tahoma"/>
          <w:sz w:val="24"/>
          <w:szCs w:val="24"/>
        </w:rPr>
        <w:t xml:space="preserve">guarantee </w:t>
      </w:r>
      <w:r w:rsidR="00A44521" w:rsidRPr="00DD5C5F">
        <w:rPr>
          <w:rFonts w:ascii="Book Antiqua" w:hAnsi="Book Antiqua" w:cs="Tahoma"/>
          <w:sz w:val="24"/>
          <w:szCs w:val="24"/>
        </w:rPr>
        <w:t>that</w:t>
      </w:r>
      <w:r w:rsidRPr="00DD5C5F">
        <w:rPr>
          <w:rFonts w:ascii="Book Antiqua" w:hAnsi="Book Antiqua" w:cs="Tahoma"/>
          <w:sz w:val="24"/>
          <w:szCs w:val="24"/>
        </w:rPr>
        <w:t xml:space="preserve"> puts the creditor in the preferred creditor position. Preferred creditors are creditors who get the right of precedence in debt repayment. krediturthe preferred creditor is the creditor who holds the security rights. </w:t>
      </w:r>
    </w:p>
    <w:p w14:paraId="3081DFEB" w14:textId="6DEDC2AE"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 xml:space="preserve">From the various rules governing guarantees and credit, it seems </w:t>
      </w:r>
      <w:r w:rsidR="00A44521" w:rsidRPr="00DD5C5F">
        <w:rPr>
          <w:rFonts w:ascii="Book Antiqua" w:hAnsi="Book Antiqua" w:cs="Tahoma"/>
          <w:sz w:val="24"/>
          <w:szCs w:val="24"/>
        </w:rPr>
        <w:t>that the law protects creditors more than debtors because it has a greater risk. However, of course the law should provide a balanced position</w:t>
      </w:r>
      <w:r w:rsidRPr="00DD5C5F">
        <w:rPr>
          <w:rFonts w:ascii="Book Antiqua" w:hAnsi="Book Antiqua" w:cs="Tahoma"/>
          <w:sz w:val="24"/>
          <w:szCs w:val="24"/>
        </w:rPr>
        <w:t>. Article 27 paragraph (1) of the 1945 Constitution</w:t>
      </w:r>
      <w:r w:rsidR="000D1BA7" w:rsidRPr="00DD5C5F">
        <w:rPr>
          <w:rFonts w:ascii="Book Antiqua" w:hAnsi="Book Antiqua" w:cs="Tahoma"/>
          <w:sz w:val="24"/>
          <w:szCs w:val="24"/>
        </w:rPr>
        <w:t>g</w:t>
      </w:r>
      <w:r w:rsidRPr="00DD5C5F">
        <w:rPr>
          <w:rFonts w:ascii="Book Antiqua" w:hAnsi="Book Antiqua" w:cs="Tahoma"/>
          <w:sz w:val="24"/>
          <w:szCs w:val="24"/>
        </w:rPr>
        <w:t>states that people must be treated equally before the law. This provision is also reaffirmed in Article 6 paragraph (1) letter g regarding the establishment of laws and regulations</w:t>
      </w:r>
      <w:r w:rsidR="00A61653">
        <w:rPr>
          <w:rStyle w:val="FootnoteReference"/>
          <w:rFonts w:ascii="Book Antiqua" w:hAnsi="Book Antiqua" w:cs="Tahoma"/>
          <w:sz w:val="24"/>
          <w:szCs w:val="24"/>
        </w:rPr>
        <w:footnoteReference w:id="15"/>
      </w:r>
      <w:r w:rsidRPr="00DD5C5F">
        <w:rPr>
          <w:rFonts w:ascii="Book Antiqua" w:hAnsi="Book Antiqua" w:cs="Tahoma"/>
          <w:sz w:val="24"/>
          <w:szCs w:val="24"/>
        </w:rPr>
        <w:t xml:space="preserve"> ya</w:t>
      </w:r>
      <w:r w:rsidR="000D1BA7" w:rsidRPr="00DD5C5F">
        <w:rPr>
          <w:rFonts w:ascii="Book Antiqua" w:hAnsi="Book Antiqua" w:cs="Tahoma"/>
          <w:sz w:val="24"/>
          <w:szCs w:val="24"/>
        </w:rPr>
        <w:t>ng</w:t>
      </w:r>
      <w:r w:rsidRPr="00DD5C5F">
        <w:rPr>
          <w:rFonts w:ascii="Book Antiqua" w:hAnsi="Book Antiqua" w:cs="Tahoma"/>
          <w:sz w:val="24"/>
          <w:szCs w:val="24"/>
        </w:rPr>
        <w:t>, which states that the content of laws and regulations must reflect the principles, one of which is the principle of Justice. In the explanation</w:t>
      </w:r>
      <w:r w:rsidR="000D1BA7" w:rsidRPr="00DD5C5F">
        <w:rPr>
          <w:rFonts w:ascii="Book Antiqua" w:hAnsi="Book Antiqua" w:cs="Tahoma"/>
          <w:sz w:val="24"/>
          <w:szCs w:val="24"/>
        </w:rPr>
        <w:t>of Article 6 paragraph (1) letter g din</w:t>
      </w:r>
      <w:r w:rsidRPr="00DD5C5F">
        <w:rPr>
          <w:rFonts w:ascii="Book Antiqua" w:hAnsi="Book Antiqua" w:cs="Tahoma"/>
          <w:sz w:val="24"/>
          <w:szCs w:val="24"/>
        </w:rPr>
        <w:t>is stated :</w:t>
      </w:r>
    </w:p>
    <w:p w14:paraId="0177FD83"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What is meant by “the principle of justice” is that every material content of legislation must reflect justice proportionally for every citizen</w:t>
      </w:r>
    </w:p>
    <w:p w14:paraId="73453479"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 xml:space="preserve">Justice must be done proportionately. This means that justice cannot be carried out samaequally, let alone by violating the rights of others. </w:t>
      </w:r>
    </w:p>
    <w:p w14:paraId="40FAF467"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L.J Van Apeldoorn who said that the purpose of law is the arrangement of community life in a fair and peaceful manner by establishing a balance between protected interests so that everyone gets what is rightfully theirs as it should be. Proportional justice should appear in the decision of the Constitutional Court.</w:t>
      </w:r>
      <w:r w:rsidR="00A44521" w:rsidRPr="00DD5C5F">
        <w:rPr>
          <w:rFonts w:ascii="Book Antiqua" w:hAnsi="Book Antiqua" w:cs="Tahoma"/>
          <w:sz w:val="24"/>
          <w:szCs w:val="24"/>
        </w:rPr>
        <w:t xml:space="preserve"> On the one hand, the decision of the Constitutional Court wants to provide justice to the debtor with the enforcement of conditional executorial rights, but on the other hand, this decision actually makes injustice because it degrades the executorial rights and creditor execution parate institutions.</w:t>
      </w:r>
      <w:r w:rsidRPr="00DD5C5F">
        <w:rPr>
          <w:rFonts w:ascii="Book Antiqua" w:hAnsi="Book Antiqua" w:cs="Tahoma"/>
          <w:sz w:val="24"/>
          <w:szCs w:val="24"/>
        </w:rPr>
        <w:t xml:space="preserve"> </w:t>
      </w:r>
    </w:p>
    <w:p w14:paraId="767EEEC1" w14:textId="77777777" w:rsidR="00D85ABA" w:rsidRPr="00DD5C5F" w:rsidRDefault="00A44521"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In practice</w:t>
      </w:r>
      <w:r w:rsidR="00D85ABA" w:rsidRPr="00DD5C5F">
        <w:rPr>
          <w:rFonts w:ascii="Book Antiqua" w:hAnsi="Book Antiqua" w:cs="Tahoma"/>
          <w:sz w:val="24"/>
          <w:szCs w:val="24"/>
        </w:rPr>
        <w:t>, there are events of execution events that are not carried car</w:t>
      </w:r>
      <w:r w:rsidR="004B1C1F" w:rsidRPr="00DD5C5F">
        <w:rPr>
          <w:rFonts w:ascii="Book Antiqua" w:hAnsi="Book Antiqua" w:cs="Tahoma"/>
          <w:sz w:val="24"/>
          <w:szCs w:val="24"/>
        </w:rPr>
        <w:t xml:space="preserve">out in a </w:t>
      </w:r>
      <w:r w:rsidR="00D85ABA" w:rsidRPr="00DD5C5F">
        <w:rPr>
          <w:rFonts w:ascii="Book Antiqua" w:hAnsi="Book Antiqua" w:cs="Tahoma"/>
          <w:sz w:val="24"/>
          <w:szCs w:val="24"/>
        </w:rPr>
        <w:t xml:space="preserve">cara yang </w:t>
      </w:r>
      <w:r w:rsidR="004B1C1F" w:rsidRPr="00DD5C5F">
        <w:rPr>
          <w:rFonts w:ascii="Book Antiqua" w:hAnsi="Book Antiqua" w:cs="Tahoma"/>
          <w:sz w:val="24"/>
          <w:szCs w:val="24"/>
        </w:rPr>
        <w:t>correct way</w:t>
      </w:r>
      <w:r w:rsidR="00D85ABA" w:rsidRPr="00DD5C5F">
        <w:rPr>
          <w:rFonts w:ascii="Book Antiqua" w:hAnsi="Book Antiqua" w:cs="Tahoma"/>
          <w:sz w:val="24"/>
          <w:szCs w:val="24"/>
        </w:rPr>
        <w:t xml:space="preserve"> to the detriment of the debtor. For this, it should carabe the execution procedure that must be disciplined and made in the form of implementing regulations and provide strict sanctions to creditors who carry out inappropriate collection events.</w:t>
      </w:r>
    </w:p>
    <w:p w14:paraId="7E9A4C0F"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The law is all that is useful to the people. As part of the legal ideal (ideje des recht), justice and legal certainty require a complement that is expediency. Happiness can be defined as happiness</w:t>
      </w:r>
      <w:r w:rsidRPr="00DD5C5F">
        <w:rPr>
          <w:rFonts w:ascii="Book Antiqua" w:hAnsi="Book Antiqua" w:cs="Tahoma"/>
          <w:i/>
          <w:sz w:val="24"/>
          <w:szCs w:val="24"/>
        </w:rPr>
        <w:t>.</w:t>
      </w:r>
      <w:r w:rsidRPr="00DD5C5F">
        <w:rPr>
          <w:rFonts w:ascii="Book Antiqua" w:hAnsi="Book Antiqua" w:cs="Tahoma"/>
          <w:sz w:val="24"/>
          <w:szCs w:val="24"/>
        </w:rPr>
        <w:t xml:space="preserve"> The good of the law depends on whether it gives happiness or not to man. Good law is a law that can benefit every subject of law. </w:t>
      </w:r>
    </w:p>
    <w:p w14:paraId="0064D5A9" w14:textId="32A3C741"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The law is all that is useful to the people. As part of the legal ideal (ideje des recht), justice and legal certainty require a complement that is expediency. Happiness can be defined as happiness</w:t>
      </w:r>
      <w:r w:rsidRPr="00DD5C5F">
        <w:rPr>
          <w:rFonts w:ascii="Book Antiqua" w:hAnsi="Book Antiqua" w:cs="Tahoma"/>
          <w:i/>
          <w:sz w:val="24"/>
          <w:szCs w:val="24"/>
        </w:rPr>
        <w:t>.</w:t>
      </w:r>
      <w:r w:rsidRPr="00DD5C5F">
        <w:rPr>
          <w:rFonts w:ascii="Book Antiqua" w:hAnsi="Book Antiqua" w:cs="Tahoma"/>
          <w:sz w:val="24"/>
          <w:szCs w:val="24"/>
        </w:rPr>
        <w:t xml:space="preserve"> The good of the law depends on whether it gives happiness or not to man. Good law is a law that can benefit every subject of law. The law can be categorized as good if it is able to provide happiness to the largest part of society.</w:t>
      </w:r>
      <w:r w:rsidR="00A61653">
        <w:rPr>
          <w:rStyle w:val="FootnoteReference"/>
          <w:rFonts w:ascii="Book Antiqua" w:hAnsi="Book Antiqua" w:cs="Tahoma"/>
          <w:sz w:val="24"/>
          <w:szCs w:val="24"/>
        </w:rPr>
        <w:footnoteReference w:id="16"/>
      </w:r>
    </w:p>
    <w:p w14:paraId="376571C3" w14:textId="054D05A3"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In essence, the main purpose of law is to create an orderly society, creating an order of balance. Any public relations must not conflict with the provisions of the provisions of the existing law and apply in society. Law serves as a regulator of the balance between the rights and obligations of humans as social beings and realize justice in living together. This was stated by Jeremy Bentham who asserted: “the law is only recognized as a law if it provides for the greatest possible benefit to as many people as possible”.</w:t>
      </w:r>
      <w:r w:rsidR="00A61653">
        <w:rPr>
          <w:rStyle w:val="FootnoteReference"/>
          <w:rFonts w:ascii="Book Antiqua" w:hAnsi="Book Antiqua" w:cs="Tahoma"/>
          <w:sz w:val="24"/>
          <w:szCs w:val="24"/>
        </w:rPr>
        <w:footnoteReference w:id="17"/>
      </w:r>
      <w:r w:rsidRPr="00DD5C5F">
        <w:rPr>
          <w:rFonts w:ascii="Book Antiqua" w:hAnsi="Book Antiqua" w:cs="Tahoma"/>
          <w:sz w:val="24"/>
          <w:szCs w:val="24"/>
        </w:rPr>
        <w:t xml:space="preserve"> The community will obey the law without the need to be forced with sanctions if the community feels the benefits.</w:t>
      </w:r>
      <w:r w:rsidR="00A61653">
        <w:rPr>
          <w:rStyle w:val="FootnoteReference"/>
          <w:rFonts w:ascii="Book Antiqua" w:hAnsi="Book Antiqua" w:cs="Tahoma"/>
          <w:sz w:val="24"/>
          <w:szCs w:val="24"/>
        </w:rPr>
        <w:footnoteReference w:id="18"/>
      </w:r>
      <w:r w:rsidRPr="00DD5C5F">
        <w:rPr>
          <w:rFonts w:ascii="Book Antiqua" w:hAnsi="Book Antiqua" w:cs="Tahoma"/>
          <w:sz w:val="24"/>
          <w:szCs w:val="24"/>
        </w:rPr>
        <w:t xml:space="preserve"> Thus, the existence of law not only seeks to create Justice of a general nature, but the law itself then brings benefits and therefore the law remains useful </w:t>
      </w:r>
      <w:r w:rsidRPr="00DD5C5F">
        <w:rPr>
          <w:rFonts w:ascii="Book Antiqua" w:hAnsi="Book Antiqua" w:cs="Tahoma"/>
          <w:i/>
          <w:sz w:val="24"/>
          <w:szCs w:val="24"/>
        </w:rPr>
        <w:t>(doelmatig)</w:t>
      </w:r>
      <w:r w:rsidRPr="00DD5C5F">
        <w:rPr>
          <w:rFonts w:ascii="Book Antiqua" w:hAnsi="Book Antiqua" w:cs="Tahoma"/>
          <w:sz w:val="24"/>
          <w:szCs w:val="24"/>
        </w:rPr>
        <w:t xml:space="preserve"> for everyone, without exception.</w:t>
      </w:r>
      <w:r w:rsidR="00A61653">
        <w:rPr>
          <w:rStyle w:val="FootnoteReference"/>
          <w:rFonts w:ascii="Book Antiqua" w:hAnsi="Book Antiqua" w:cs="Tahoma"/>
          <w:sz w:val="24"/>
          <w:szCs w:val="24"/>
        </w:rPr>
        <w:footnoteReference w:id="19"/>
      </w:r>
    </w:p>
    <w:p w14:paraId="49CA169D" w14:textId="77777777" w:rsidR="00D85ABA" w:rsidRPr="00DD5C5F" w:rsidRDefault="00D85ABA" w:rsidP="005271FF">
      <w:pPr>
        <w:spacing w:after="0" w:line="240" w:lineRule="auto"/>
        <w:ind w:right="1" w:firstLine="567"/>
        <w:jc w:val="both"/>
        <w:rPr>
          <w:rFonts w:ascii="Book Antiqua" w:hAnsi="Book Antiqua" w:cs="Tahoma"/>
          <w:sz w:val="24"/>
          <w:szCs w:val="24"/>
        </w:rPr>
      </w:pPr>
      <w:r w:rsidRPr="00DD5C5F">
        <w:rPr>
          <w:rFonts w:ascii="Book Antiqua" w:hAnsi="Book Antiqua" w:cs="Tahoma"/>
          <w:sz w:val="24"/>
          <w:szCs w:val="24"/>
        </w:rPr>
        <w:t xml:space="preserve">Because the </w:t>
      </w:r>
      <w:r w:rsidR="002B05BD" w:rsidRPr="00DD5C5F">
        <w:rPr>
          <w:rFonts w:ascii="Book Antiqua" w:hAnsi="Book Antiqua" w:cs="Tahoma"/>
          <w:sz w:val="24"/>
          <w:szCs w:val="24"/>
        </w:rPr>
        <w:t>b</w:t>
      </w:r>
      <w:r w:rsidRPr="00DD5C5F">
        <w:rPr>
          <w:rFonts w:ascii="Book Antiqua" w:hAnsi="Book Antiqua" w:cs="Tahoma"/>
          <w:sz w:val="24"/>
          <w:szCs w:val="24"/>
        </w:rPr>
        <w:t xml:space="preserve">execution arrangement in fiduciary security is no longer beneficial to the creditor or debtor, the purpose of the establishment of the law </w:t>
      </w:r>
      <w:r w:rsidR="004B1C1F" w:rsidRPr="00DD5C5F">
        <w:rPr>
          <w:rFonts w:ascii="Book Antiqua" w:hAnsi="Book Antiqua" w:cs="Tahoma"/>
          <w:sz w:val="24"/>
          <w:szCs w:val="24"/>
        </w:rPr>
        <w:t>pun</w:t>
      </w:r>
      <w:r w:rsidRPr="00DD5C5F">
        <w:rPr>
          <w:rFonts w:ascii="Book Antiqua" w:hAnsi="Book Antiqua" w:cs="Tahoma"/>
          <w:sz w:val="24"/>
          <w:szCs w:val="24"/>
        </w:rPr>
        <w:t xml:space="preserve"> tidak </w:t>
      </w:r>
      <w:r w:rsidR="004B1C1F" w:rsidRPr="00DD5C5F">
        <w:rPr>
          <w:rFonts w:ascii="Book Antiqua" w:hAnsi="Book Antiqua" w:cs="Tahoma"/>
          <w:sz w:val="24"/>
          <w:szCs w:val="24"/>
        </w:rPr>
        <w:t>cannot provide</w:t>
      </w:r>
      <w:r w:rsidRPr="00DD5C5F">
        <w:rPr>
          <w:rFonts w:ascii="Book Antiqua" w:hAnsi="Book Antiqua" w:cs="Tahoma"/>
          <w:sz w:val="24"/>
          <w:szCs w:val="24"/>
        </w:rPr>
        <w:t xml:space="preserve"> legal protection.</w:t>
      </w:r>
    </w:p>
    <w:p w14:paraId="0492FA78" w14:textId="77777777" w:rsidR="005271FF" w:rsidRPr="00DD5C5F" w:rsidRDefault="005271FF" w:rsidP="005271FF">
      <w:pPr>
        <w:spacing w:after="0" w:line="240" w:lineRule="auto"/>
        <w:ind w:right="1" w:firstLine="567"/>
        <w:jc w:val="both"/>
        <w:rPr>
          <w:rFonts w:ascii="Book Antiqua" w:hAnsi="Book Antiqua" w:cs="Tahoma"/>
          <w:sz w:val="24"/>
          <w:szCs w:val="24"/>
        </w:rPr>
      </w:pPr>
    </w:p>
    <w:p w14:paraId="6A9CBCE3" w14:textId="4266FD40" w:rsidR="00D85ABA" w:rsidRPr="00DD5C5F" w:rsidRDefault="006D75BA" w:rsidP="005271FF">
      <w:pPr>
        <w:pStyle w:val="ListParagraph"/>
        <w:numPr>
          <w:ilvl w:val="0"/>
          <w:numId w:val="9"/>
        </w:numPr>
        <w:ind w:left="284" w:right="1" w:hanging="284"/>
        <w:jc w:val="both"/>
        <w:rPr>
          <w:rFonts w:ascii="Book Antiqua" w:hAnsi="Book Antiqua" w:cs="Tahoma"/>
          <w:b/>
          <w:sz w:val="24"/>
          <w:szCs w:val="28"/>
        </w:rPr>
      </w:pPr>
      <w:r w:rsidRPr="00DD5C5F">
        <w:rPr>
          <w:rFonts w:ascii="Book Antiqua" w:hAnsi="Book Antiqua" w:cs="Tahoma"/>
          <w:b/>
          <w:sz w:val="24"/>
          <w:szCs w:val="28"/>
        </w:rPr>
        <w:t>Conclusion</w:t>
      </w:r>
    </w:p>
    <w:p w14:paraId="250D890A" w14:textId="32F079BB" w:rsidR="00AF0C1B" w:rsidRPr="00A61653" w:rsidRDefault="00D85ABA" w:rsidP="00A61653">
      <w:pPr>
        <w:spacing w:after="0" w:line="240" w:lineRule="auto"/>
        <w:ind w:right="1" w:firstLine="851"/>
        <w:jc w:val="both"/>
        <w:rPr>
          <w:rFonts w:ascii="Book Antiqua" w:hAnsi="Book Antiqua" w:cs="Tahoma"/>
          <w:noProof/>
          <w:sz w:val="24"/>
          <w:szCs w:val="24"/>
        </w:rPr>
      </w:pPr>
      <w:r w:rsidRPr="00DD5C5F">
        <w:rPr>
          <w:rFonts w:ascii="Book Antiqua" w:hAnsi="Book Antiqua" w:cs="Tahoma"/>
          <w:noProof/>
          <w:sz w:val="24"/>
          <w:szCs w:val="24"/>
        </w:rPr>
        <w:t xml:space="preserve">The nature of the position of executorial rights and execution parate institutions </w:t>
      </w:r>
      <w:r w:rsidR="004B1C1F" w:rsidRPr="00DD5C5F">
        <w:rPr>
          <w:rFonts w:ascii="Book Antiqua" w:hAnsi="Book Antiqua" w:cs="Tahoma"/>
          <w:noProof/>
          <w:sz w:val="24"/>
          <w:szCs w:val="24"/>
        </w:rPr>
        <w:t>are both</w:t>
      </w:r>
      <w:r w:rsidRPr="00DD5C5F">
        <w:rPr>
          <w:rFonts w:ascii="Book Antiqua" w:hAnsi="Book Antiqua" w:cs="Tahoma"/>
          <w:noProof/>
          <w:sz w:val="24"/>
          <w:szCs w:val="24"/>
        </w:rPr>
        <w:t xml:space="preserve"> privileged rights arising from the consequences of the existence of special material security institutions recognized by law. Providing a protected position with ease in the return of receivables and position in advance for creditors is a characteristic of the special guarantee institution. </w:t>
      </w:r>
      <w:r w:rsidRPr="00DD5C5F">
        <w:rPr>
          <w:rFonts w:ascii="Book Antiqua" w:hAnsi="Book Antiqua" w:cs="Tahoma"/>
          <w:sz w:val="24"/>
          <w:szCs w:val="24"/>
        </w:rPr>
        <w:t xml:space="preserve">In its decision, the Constitutional Court also relies on the enforcement of executorial rights on the voluntary surrender of creditors. This provision seems to be contrary to the nature of the executorial right itself. Basically, executorial rights are provisions in the realm of execution. Meanwhile, the promise injury in the main agreement is a naturalia clause which, although not included, is considered to be a promise injury clause that still exists. </w:t>
      </w:r>
      <w:r w:rsidRPr="00DD5C5F">
        <w:rPr>
          <w:rFonts w:ascii="Book Antiqua" w:hAnsi="Book Antiqua" w:cs="Tahoma"/>
          <w:noProof/>
          <w:sz w:val="24"/>
          <w:szCs w:val="24"/>
        </w:rPr>
        <w:t>There needs to be a renewal of fiduciary rules, especially on execution rules by bringing back the right of executorial and execution parate which is characteristic of special guarantees on material guarantees.</w:t>
      </w:r>
    </w:p>
    <w:p w14:paraId="134EF843" w14:textId="1CC5203F" w:rsidR="00D85ABA" w:rsidRDefault="00A90346" w:rsidP="00A61653">
      <w:pPr>
        <w:spacing w:after="0" w:line="240" w:lineRule="auto"/>
        <w:ind w:right="1"/>
        <w:jc w:val="center"/>
        <w:rPr>
          <w:rFonts w:ascii="Book Antiqua" w:hAnsi="Book Antiqua" w:cs="Tahoma"/>
          <w:b/>
          <w:noProof/>
          <w:sz w:val="24"/>
          <w:szCs w:val="24"/>
        </w:rPr>
      </w:pPr>
      <w:r w:rsidRPr="00DD5C5F">
        <w:rPr>
          <w:rFonts w:ascii="Book Antiqua" w:hAnsi="Book Antiqua" w:cs="Tahoma"/>
          <w:b/>
          <w:noProof/>
          <w:sz w:val="24"/>
          <w:szCs w:val="24"/>
        </w:rPr>
        <w:t>References</w:t>
      </w:r>
    </w:p>
    <w:p w14:paraId="534230CF" w14:textId="77777777" w:rsidR="00D40EBB" w:rsidRPr="00DD5C5F" w:rsidRDefault="00D40EBB" w:rsidP="00A61653">
      <w:pPr>
        <w:spacing w:after="0" w:line="240" w:lineRule="auto"/>
        <w:ind w:right="1"/>
        <w:jc w:val="center"/>
        <w:rPr>
          <w:rFonts w:ascii="Book Antiqua" w:hAnsi="Book Antiqua" w:cs="Tahoma"/>
          <w:b/>
          <w:noProof/>
          <w:sz w:val="24"/>
          <w:szCs w:val="24"/>
        </w:rPr>
      </w:pPr>
    </w:p>
    <w:bookmarkEnd w:id="2"/>
    <w:p w14:paraId="12CB7918" w14:textId="37863F46"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Pr>
          <w:rFonts w:ascii="Book Antiqua" w:hAnsi="Book Antiqua" w:cs="Tahoma"/>
          <w:sz w:val="24"/>
          <w:szCs w:val="24"/>
        </w:rPr>
        <w:fldChar w:fldCharType="begin" w:fldLock="1"/>
      </w:r>
      <w:r>
        <w:rPr>
          <w:rFonts w:ascii="Book Antiqua" w:hAnsi="Book Antiqua" w:cs="Tahoma"/>
          <w:sz w:val="24"/>
          <w:szCs w:val="24"/>
        </w:rPr>
        <w:instrText xml:space="preserve">ADDIN Mendeley Bibliography CSL_BIBLIOGRAPHY </w:instrText>
      </w:r>
      <w:r>
        <w:rPr>
          <w:rFonts w:ascii="Book Antiqua" w:hAnsi="Book Antiqua" w:cs="Tahoma"/>
          <w:sz w:val="24"/>
          <w:szCs w:val="24"/>
        </w:rPr>
        <w:fldChar w:fldCharType="separate"/>
      </w:r>
      <w:r w:rsidRPr="00A61653">
        <w:rPr>
          <w:rFonts w:ascii="Book Antiqua" w:hAnsi="Book Antiqua" w:cs="Times New Roman"/>
          <w:noProof/>
          <w:sz w:val="24"/>
          <w:szCs w:val="24"/>
        </w:rPr>
        <w:t xml:space="preserve">A, Attamimi, and Hamidd A, </w:t>
      </w:r>
      <w:r w:rsidRPr="00A61653">
        <w:rPr>
          <w:rFonts w:ascii="Book Antiqua" w:hAnsi="Book Antiqua" w:cs="Times New Roman"/>
          <w:i/>
          <w:iCs/>
          <w:noProof/>
          <w:sz w:val="24"/>
          <w:szCs w:val="24"/>
        </w:rPr>
        <w:t>Pancasila Cita Hukum Dalam Kehidupan Hukum Bangsa Indonesia”, Dalam Pancasila Sebagai Ideologi: Dalam Berbagai Bidang Kehidupan Bermasyarakat, Berbangsa Dan Bernegara,</w:t>
      </w:r>
      <w:r w:rsidRPr="00A61653">
        <w:rPr>
          <w:rFonts w:ascii="Book Antiqua" w:hAnsi="Book Antiqua" w:cs="Times New Roman"/>
          <w:noProof/>
          <w:sz w:val="24"/>
          <w:szCs w:val="24"/>
        </w:rPr>
        <w:t xml:space="preserve"> (Jakarta: BP-7 Pusat, 1992)</w:t>
      </w:r>
    </w:p>
    <w:p w14:paraId="22F1555A"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Anggoro, Teddy, ‘Parate Eksekusi: Hak Kreditur, Yang Menderogasi Hukum Formil (Suatu Pemahaman Dasar Dan Mendalam)’, </w:t>
      </w:r>
      <w:r w:rsidRPr="00A61653">
        <w:rPr>
          <w:rFonts w:ascii="Book Antiqua" w:hAnsi="Book Antiqua" w:cs="Times New Roman"/>
          <w:i/>
          <w:iCs/>
          <w:noProof/>
          <w:sz w:val="24"/>
          <w:szCs w:val="24"/>
        </w:rPr>
        <w:t>Jurnal Hukum Dan Pembangunan</w:t>
      </w:r>
      <w:r w:rsidRPr="00A61653">
        <w:rPr>
          <w:rFonts w:ascii="Book Antiqua" w:hAnsi="Book Antiqua" w:cs="Times New Roman"/>
          <w:noProof/>
          <w:sz w:val="24"/>
          <w:szCs w:val="24"/>
        </w:rPr>
        <w:t>, 4.X (2007)</w:t>
      </w:r>
    </w:p>
    <w:p w14:paraId="1F642A0D"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Artadi, Ibnu, ‘Hukum : Antara Nilai-Nilai Kepastian, Kemanfaatan Dan Keadilan’, </w:t>
      </w:r>
      <w:r w:rsidRPr="00A61653">
        <w:rPr>
          <w:rFonts w:ascii="Book Antiqua" w:hAnsi="Book Antiqua" w:cs="Times New Roman"/>
          <w:i/>
          <w:iCs/>
          <w:noProof/>
          <w:sz w:val="24"/>
          <w:szCs w:val="24"/>
        </w:rPr>
        <w:t>Hukum Dan Dinamika Masyarakat</w:t>
      </w:r>
      <w:r w:rsidRPr="00A61653">
        <w:rPr>
          <w:rFonts w:ascii="Book Antiqua" w:hAnsi="Book Antiqua" w:cs="Times New Roman"/>
          <w:noProof/>
          <w:sz w:val="24"/>
          <w:szCs w:val="24"/>
        </w:rPr>
        <w:t>, 4.1 (2006), 67–81 &lt;http://jurnal.untagsmg.ac.id/index.php/hdm/article/view/362&gt;</w:t>
      </w:r>
    </w:p>
    <w:p w14:paraId="60ADEBB8"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Aswan, </w:t>
      </w:r>
      <w:r w:rsidRPr="00A61653">
        <w:rPr>
          <w:rFonts w:ascii="Book Antiqua" w:hAnsi="Book Antiqua" w:cs="Times New Roman"/>
          <w:i/>
          <w:iCs/>
          <w:noProof/>
          <w:sz w:val="24"/>
          <w:szCs w:val="24"/>
        </w:rPr>
        <w:t>Seni Belajar Hukum</w:t>
      </w:r>
      <w:r w:rsidRPr="00A61653">
        <w:rPr>
          <w:rFonts w:ascii="Book Antiqua" w:hAnsi="Book Antiqua" w:cs="Times New Roman"/>
          <w:noProof/>
          <w:sz w:val="24"/>
          <w:szCs w:val="24"/>
        </w:rPr>
        <w:t xml:space="preserve"> (Bogor: Guepedia, 2019)</w:t>
      </w:r>
    </w:p>
    <w:p w14:paraId="0B38D820"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Badan Pembinaan Hukum Nasional, </w:t>
      </w:r>
      <w:r w:rsidRPr="00A61653">
        <w:rPr>
          <w:rFonts w:ascii="Book Antiqua" w:hAnsi="Book Antiqua" w:cs="Times New Roman"/>
          <w:i/>
          <w:iCs/>
          <w:noProof/>
          <w:sz w:val="24"/>
          <w:szCs w:val="24"/>
        </w:rPr>
        <w:t>Naskah Akademik Rancangan Undang-Undang Acara Perdata</w:t>
      </w:r>
      <w:r w:rsidRPr="00A61653">
        <w:rPr>
          <w:rFonts w:ascii="Book Antiqua" w:hAnsi="Book Antiqua" w:cs="Times New Roman"/>
          <w:noProof/>
          <w:sz w:val="24"/>
          <w:szCs w:val="24"/>
        </w:rPr>
        <w:t>, 2015, p. 5</w:t>
      </w:r>
    </w:p>
    <w:p w14:paraId="1EC7F4C8"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Dewan Perwakilan Rakyat, </w:t>
      </w:r>
      <w:r w:rsidRPr="00A61653">
        <w:rPr>
          <w:rFonts w:ascii="Book Antiqua" w:hAnsi="Book Antiqua" w:cs="Times New Roman"/>
          <w:i/>
          <w:iCs/>
          <w:noProof/>
          <w:sz w:val="24"/>
          <w:szCs w:val="24"/>
        </w:rPr>
        <w:t>Undang-Undang Republik Indonesia Nomor 15 Tahun 2019</w:t>
      </w:r>
      <w:r w:rsidRPr="00A61653">
        <w:rPr>
          <w:rFonts w:ascii="Book Antiqua" w:hAnsi="Book Antiqua" w:cs="Times New Roman"/>
          <w:noProof/>
          <w:sz w:val="24"/>
          <w:szCs w:val="24"/>
        </w:rPr>
        <w:t>, 2019</w:t>
      </w:r>
    </w:p>
    <w:p w14:paraId="78065620" w14:textId="5489DB3D" w:rsidR="00A61653" w:rsidRPr="00A61653" w:rsidRDefault="00D40EBB"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Pr>
          <w:rFonts w:ascii="Book Antiqua" w:hAnsi="Book Antiqua" w:cs="Times New Roman"/>
          <w:noProof/>
          <w:sz w:val="24"/>
          <w:szCs w:val="24"/>
        </w:rPr>
        <w:t>Dewan Perwakilan Rakyat</w:t>
      </w:r>
      <w:r w:rsidR="00A61653" w:rsidRPr="00A61653">
        <w:rPr>
          <w:rFonts w:ascii="Book Antiqua" w:hAnsi="Book Antiqua" w:cs="Times New Roman"/>
          <w:noProof/>
          <w:sz w:val="24"/>
          <w:szCs w:val="24"/>
        </w:rPr>
        <w:t xml:space="preserve">, </w:t>
      </w:r>
      <w:r w:rsidR="00A61653" w:rsidRPr="00A61653">
        <w:rPr>
          <w:rFonts w:ascii="Book Antiqua" w:hAnsi="Book Antiqua" w:cs="Times New Roman"/>
          <w:i/>
          <w:iCs/>
          <w:noProof/>
          <w:sz w:val="24"/>
          <w:szCs w:val="24"/>
        </w:rPr>
        <w:t>Undang-Undang Republik Indonesia Nomor 42 Tahun 1999 Pasal 15 Ayat 2</w:t>
      </w:r>
      <w:r w:rsidR="00A61653" w:rsidRPr="00A61653">
        <w:rPr>
          <w:rFonts w:ascii="Book Antiqua" w:hAnsi="Book Antiqua" w:cs="Times New Roman"/>
          <w:noProof/>
          <w:sz w:val="24"/>
          <w:szCs w:val="24"/>
        </w:rPr>
        <w:t>, 1999</w:t>
      </w:r>
    </w:p>
    <w:p w14:paraId="2622EFAE"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Djuhana, Muhammad, </w:t>
      </w:r>
      <w:r w:rsidRPr="00A61653">
        <w:rPr>
          <w:rFonts w:ascii="Book Antiqua" w:hAnsi="Book Antiqua" w:cs="Times New Roman"/>
          <w:i/>
          <w:iCs/>
          <w:noProof/>
          <w:sz w:val="24"/>
          <w:szCs w:val="24"/>
        </w:rPr>
        <w:t>Banking Law Indonesia</w:t>
      </w:r>
      <w:r w:rsidRPr="00A61653">
        <w:rPr>
          <w:rFonts w:ascii="Book Antiqua" w:hAnsi="Book Antiqua" w:cs="Times New Roman"/>
          <w:noProof/>
          <w:sz w:val="24"/>
          <w:szCs w:val="24"/>
        </w:rPr>
        <w:t xml:space="preserve"> (Bandung: PT. Citra Aditya Bakti, 2000)</w:t>
      </w:r>
    </w:p>
    <w:p w14:paraId="2551A8D3"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Khairandy, Ridwan, </w:t>
      </w:r>
      <w:r w:rsidRPr="00A61653">
        <w:rPr>
          <w:rFonts w:ascii="Book Antiqua" w:hAnsi="Book Antiqua" w:cs="Times New Roman"/>
          <w:i/>
          <w:iCs/>
          <w:noProof/>
          <w:sz w:val="24"/>
          <w:szCs w:val="24"/>
        </w:rPr>
        <w:t>Hukum Kontrak Indonesia (Dalam Perspektif Perbandingan)</w:t>
      </w:r>
      <w:r w:rsidRPr="00A61653">
        <w:rPr>
          <w:rFonts w:ascii="Book Antiqua" w:hAnsi="Book Antiqua" w:cs="Times New Roman"/>
          <w:noProof/>
          <w:sz w:val="24"/>
          <w:szCs w:val="24"/>
        </w:rPr>
        <w:t xml:space="preserve"> (Yogyakarta: FH UII Press, 2014)</w:t>
      </w:r>
    </w:p>
    <w:p w14:paraId="48C66C7C"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Raharjo, Satjipto, </w:t>
      </w:r>
      <w:r w:rsidRPr="00A61653">
        <w:rPr>
          <w:rFonts w:ascii="Book Antiqua" w:hAnsi="Book Antiqua" w:cs="Times New Roman"/>
          <w:i/>
          <w:iCs/>
          <w:noProof/>
          <w:sz w:val="24"/>
          <w:szCs w:val="24"/>
        </w:rPr>
        <w:t>Ilmu Hukum</w:t>
      </w:r>
      <w:r w:rsidRPr="00A61653">
        <w:rPr>
          <w:rFonts w:ascii="Book Antiqua" w:hAnsi="Book Antiqua" w:cs="Times New Roman"/>
          <w:noProof/>
          <w:sz w:val="24"/>
          <w:szCs w:val="24"/>
        </w:rPr>
        <w:t xml:space="preserve"> (Bandung: PT. Citra Aditya Bakti, 2000)</w:t>
      </w:r>
    </w:p>
    <w:p w14:paraId="7F3CB5F9"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Satrio, J, </w:t>
      </w:r>
      <w:r w:rsidRPr="00A61653">
        <w:rPr>
          <w:rFonts w:ascii="Book Antiqua" w:hAnsi="Book Antiqua" w:cs="Times New Roman"/>
          <w:i/>
          <w:iCs/>
          <w:noProof/>
          <w:sz w:val="24"/>
          <w:szCs w:val="24"/>
        </w:rPr>
        <w:t>Hukum Perikatan Pada Umumnya</w:t>
      </w:r>
      <w:r w:rsidRPr="00A61653">
        <w:rPr>
          <w:rFonts w:ascii="Book Antiqua" w:hAnsi="Book Antiqua" w:cs="Times New Roman"/>
          <w:noProof/>
          <w:sz w:val="24"/>
          <w:szCs w:val="24"/>
        </w:rPr>
        <w:t xml:space="preserve"> (Bandung: Alumni, 1993)</w:t>
      </w:r>
    </w:p>
    <w:p w14:paraId="571E04FF"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Subekti, R, </w:t>
      </w:r>
      <w:r w:rsidRPr="00A61653">
        <w:rPr>
          <w:rFonts w:ascii="Book Antiqua" w:hAnsi="Book Antiqua" w:cs="Times New Roman"/>
          <w:i/>
          <w:iCs/>
          <w:noProof/>
          <w:sz w:val="24"/>
          <w:szCs w:val="24"/>
        </w:rPr>
        <w:t>Hukum Perjanjian</w:t>
      </w:r>
      <w:r w:rsidRPr="00A61653">
        <w:rPr>
          <w:rFonts w:ascii="Book Antiqua" w:hAnsi="Book Antiqua" w:cs="Times New Roman"/>
          <w:noProof/>
          <w:sz w:val="24"/>
          <w:szCs w:val="24"/>
        </w:rPr>
        <w:t xml:space="preserve"> (Jakarta: Pembimbing Masa, 2013)</w:t>
      </w:r>
    </w:p>
    <w:p w14:paraId="35B287EC"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Wantu, Fence M., ‘Antinomi Dalam Penegakan Hukum Oleh Hakim’, </w:t>
      </w:r>
      <w:r w:rsidRPr="00A61653">
        <w:rPr>
          <w:rFonts w:ascii="Book Antiqua" w:hAnsi="Book Antiqua" w:cs="Times New Roman"/>
          <w:i/>
          <w:iCs/>
          <w:noProof/>
          <w:sz w:val="24"/>
          <w:szCs w:val="24"/>
        </w:rPr>
        <w:t>Jurnal Berkala Mimbar Hukum</w:t>
      </w:r>
      <w:r w:rsidRPr="00A61653">
        <w:rPr>
          <w:rFonts w:ascii="Book Antiqua" w:hAnsi="Book Antiqua" w:cs="Times New Roman"/>
          <w:noProof/>
          <w:sz w:val="24"/>
          <w:szCs w:val="24"/>
        </w:rPr>
        <w:t>, 19.3 (2007), 395</w:t>
      </w:r>
    </w:p>
    <w:p w14:paraId="1D15480C"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cs="Times New Roman"/>
          <w:noProof/>
          <w:sz w:val="24"/>
          <w:szCs w:val="24"/>
        </w:rPr>
      </w:pPr>
      <w:r w:rsidRPr="00A61653">
        <w:rPr>
          <w:rFonts w:ascii="Book Antiqua" w:hAnsi="Book Antiqua" w:cs="Times New Roman"/>
          <w:noProof/>
          <w:sz w:val="24"/>
          <w:szCs w:val="24"/>
        </w:rPr>
        <w:t xml:space="preserve">Wijayanta, Tata, ‘Asas Kepastian Hukum, Keadilan Dan Kemanfaatan Dalam Kaitannya Dengan Putusan Kepailitan Pengadilan Niaga’, </w:t>
      </w:r>
      <w:r w:rsidRPr="00A61653">
        <w:rPr>
          <w:rFonts w:ascii="Book Antiqua" w:hAnsi="Book Antiqua" w:cs="Times New Roman"/>
          <w:i/>
          <w:iCs/>
          <w:noProof/>
          <w:sz w:val="24"/>
          <w:szCs w:val="24"/>
        </w:rPr>
        <w:t>Jurnal Dinamika Hukum</w:t>
      </w:r>
      <w:r w:rsidRPr="00A61653">
        <w:rPr>
          <w:rFonts w:ascii="Book Antiqua" w:hAnsi="Book Antiqua" w:cs="Times New Roman"/>
          <w:noProof/>
          <w:sz w:val="24"/>
          <w:szCs w:val="24"/>
        </w:rPr>
        <w:t>, 14.2 (2014), 216–26 &lt;https://doi.org/10.20884/1.jdh.2014.14.2.291&gt;</w:t>
      </w:r>
    </w:p>
    <w:p w14:paraId="5479A9A2" w14:textId="77777777" w:rsidR="00A61653" w:rsidRPr="00A61653" w:rsidRDefault="00A61653" w:rsidP="00D40EBB">
      <w:pPr>
        <w:widowControl w:val="0"/>
        <w:autoSpaceDE w:val="0"/>
        <w:autoSpaceDN w:val="0"/>
        <w:adjustRightInd w:val="0"/>
        <w:spacing w:after="0" w:line="240" w:lineRule="auto"/>
        <w:ind w:left="480" w:hanging="480"/>
        <w:jc w:val="both"/>
        <w:rPr>
          <w:rFonts w:ascii="Book Antiqua" w:hAnsi="Book Antiqua"/>
          <w:noProof/>
          <w:sz w:val="24"/>
        </w:rPr>
      </w:pPr>
      <w:r w:rsidRPr="00A61653">
        <w:rPr>
          <w:rFonts w:ascii="Book Antiqua" w:hAnsi="Book Antiqua" w:cs="Times New Roman"/>
          <w:noProof/>
          <w:sz w:val="24"/>
          <w:szCs w:val="24"/>
        </w:rPr>
        <w:t xml:space="preserve">Yahya Harahap, M, </w:t>
      </w:r>
      <w:r w:rsidRPr="00A61653">
        <w:rPr>
          <w:rFonts w:ascii="Book Antiqua" w:hAnsi="Book Antiqua" w:cs="Times New Roman"/>
          <w:i/>
          <w:iCs/>
          <w:noProof/>
          <w:sz w:val="24"/>
          <w:szCs w:val="24"/>
        </w:rPr>
        <w:t>Ruang Lingkup Permasalahan Eksekusi Bidang Perdata</w:t>
      </w:r>
      <w:r w:rsidRPr="00A61653">
        <w:rPr>
          <w:rFonts w:ascii="Book Antiqua" w:hAnsi="Book Antiqua" w:cs="Times New Roman"/>
          <w:noProof/>
          <w:sz w:val="24"/>
          <w:szCs w:val="24"/>
        </w:rPr>
        <w:t>, 2nd edn (Jakarta: Sinar Grafika, 2009)</w:t>
      </w:r>
    </w:p>
    <w:p w14:paraId="389DB69F" w14:textId="6C4AB222" w:rsidR="004C2437" w:rsidRPr="00DD5C5F" w:rsidRDefault="00A61653" w:rsidP="00D40EBB">
      <w:pPr>
        <w:pStyle w:val="ListParagraph"/>
        <w:ind w:left="567" w:hanging="567"/>
        <w:jc w:val="both"/>
        <w:rPr>
          <w:rFonts w:ascii="Book Antiqua" w:hAnsi="Book Antiqua" w:cs="Tahoma"/>
          <w:sz w:val="24"/>
          <w:szCs w:val="24"/>
        </w:rPr>
      </w:pPr>
      <w:r>
        <w:rPr>
          <w:rFonts w:ascii="Book Antiqua" w:hAnsi="Book Antiqua" w:cs="Tahoma"/>
          <w:sz w:val="24"/>
          <w:szCs w:val="24"/>
        </w:rPr>
        <w:fldChar w:fldCharType="end"/>
      </w:r>
    </w:p>
    <w:sectPr w:rsidR="004C2437" w:rsidRPr="00DD5C5F" w:rsidSect="007F449B">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65E262" w14:textId="77777777" w:rsidR="006015F2" w:rsidRDefault="006015F2" w:rsidP="00D85ABA">
      <w:pPr>
        <w:spacing w:after="0" w:line="240" w:lineRule="auto"/>
      </w:pPr>
      <w:r>
        <w:separator/>
      </w:r>
    </w:p>
  </w:endnote>
  <w:endnote w:type="continuationSeparator" w:id="0">
    <w:p w14:paraId="3ADF3A1C" w14:textId="77777777" w:rsidR="006015F2" w:rsidRDefault="006015F2" w:rsidP="00D85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F65226" w14:textId="77777777" w:rsidR="006015F2" w:rsidRDefault="006015F2" w:rsidP="00D85ABA">
      <w:pPr>
        <w:spacing w:after="0" w:line="240" w:lineRule="auto"/>
      </w:pPr>
      <w:r>
        <w:separator/>
      </w:r>
    </w:p>
  </w:footnote>
  <w:footnote w:type="continuationSeparator" w:id="0">
    <w:p w14:paraId="740D73CC" w14:textId="77777777" w:rsidR="006015F2" w:rsidRDefault="006015F2" w:rsidP="00D85ABA">
      <w:pPr>
        <w:spacing w:after="0" w:line="240" w:lineRule="auto"/>
      </w:pPr>
      <w:r>
        <w:continuationSeparator/>
      </w:r>
    </w:p>
  </w:footnote>
  <w:footnote w:id="1">
    <w:p w14:paraId="4604B22B" w14:textId="69145180" w:rsidR="00E300C2" w:rsidRDefault="00E300C2">
      <w:pPr>
        <w:pStyle w:val="FootnoteText"/>
      </w:pPr>
      <w:r>
        <w:rPr>
          <w:rStyle w:val="FootnoteReference"/>
        </w:rPr>
        <w:footnoteRef/>
      </w:r>
      <w:r>
        <w:t xml:space="preserve"> </w:t>
      </w:r>
      <w:r w:rsidRPr="00A9164B">
        <w:rPr>
          <w:rFonts w:ascii="Palatino Linotype" w:hAnsi="Palatino Linotype"/>
        </w:rPr>
        <w:fldChar w:fldCharType="begin" w:fldLock="1"/>
      </w:r>
      <w:r>
        <w:rPr>
          <w:rFonts w:ascii="Palatino Linotype" w:hAnsi="Palatino Linotype"/>
        </w:rPr>
        <w:instrText>ADDIN CSL_CITATION {"citationItems":[{"id":"ITEM-1","itemData":{"author":[{"dropping-particle":"","family":"A","given":"Attamimi","non-dropping-particle":"","parse-names":false,"suffix":""},{"dropping-particle":"","family":"A","given":"Hamidd","non-dropping-particle":"","parse-names":false,"suffix":""}],"id":"ITEM-1","issued":{"date-parts":[["1992"]]},"number-of-pages":"68","publisher":"BP-7 Pusat","publisher-place":"Jakarta","title":"Pancasila Cita Hukum Dalam Kehidupan Hukum Bangsa Indonesia”, dalam Pancasila Sebagai Ideologi: Dalam Berbagai Bidang Kehidupan Bermasyarakat, Berbangsa Dan Bernegara,","type":"book"},"uris":["http://www.mendeley.com/documents/?uuid=9f338cdd-abe9-4ddd-8155-358dd4741da8"]}],"mendeley":{"formattedCitation":"Attamimi A and Hamidd A, &lt;i&gt;Pancasila Cita Hukum Dalam Kehidupan Hukum Bangsa Indonesia”, Dalam Pancasila Sebagai Ideologi: Dalam Berbagai Bidang Kehidupan Bermasyarakat, Berbangsa Dan Bernegara,&lt;/i&gt; (Jakarta: BP-7 Pusat, 1992).","plainTextFormattedCitation":"Attamimi A and Hamidd A, Pancasila Cita Hukum Dalam Kehidupan Hukum Bangsa Indonesia”, Dalam Pancasila Sebagai Ideologi: Dalam Berbagai Bidang Kehidupan Bermasyarakat, Berbangsa Dan Bernegara, (Jakarta: BP-7 Pusat, 1992).","previouslyFormattedCitation":"Attamimi A and Hamidd A, &lt;i&gt;Pancasila Cita Hukum Dalam Kehidupan Hukum Bangsa Indonesia”, Dalam Pancasila Sebagai Ideologi: Dalam Berbagai Bidang Kehidupan Bermasyarakat, Berbangsa Dan Bernegara,&lt;/i&gt; (Jakarta: BP-7 Pusat, 1992)."},"properties":{"noteIndex":1},"schema":"https://github.com/citation-style-language/schema/raw/master/csl-citation.json"}</w:instrText>
      </w:r>
      <w:r w:rsidRPr="00A9164B">
        <w:rPr>
          <w:rFonts w:ascii="Palatino Linotype" w:hAnsi="Palatino Linotype"/>
        </w:rPr>
        <w:fldChar w:fldCharType="separate"/>
      </w:r>
      <w:r w:rsidRPr="00A9164B">
        <w:rPr>
          <w:rFonts w:ascii="Palatino Linotype" w:hAnsi="Palatino Linotype"/>
          <w:noProof/>
        </w:rPr>
        <w:t xml:space="preserve">Attamimi A and Hamidd A, </w:t>
      </w:r>
      <w:r w:rsidRPr="00A9164B">
        <w:rPr>
          <w:rFonts w:ascii="Palatino Linotype" w:hAnsi="Palatino Linotype"/>
          <w:i/>
          <w:noProof/>
        </w:rPr>
        <w:t>Pancasila Cita Hukum Dalam Kehidupan Hukum Bangsa Indonesia”, Dalam Pancasila Sebagai Ideologi: Dalam Berbagai Bidang Kehidupan Bermasyarakat, Berbangsa Dan Bernegara,</w:t>
      </w:r>
      <w:r w:rsidRPr="00A9164B">
        <w:rPr>
          <w:rFonts w:ascii="Palatino Linotype" w:hAnsi="Palatino Linotype"/>
          <w:noProof/>
        </w:rPr>
        <w:t xml:space="preserve"> (Jakarta: BP-7 Pusat, 1992).</w:t>
      </w:r>
      <w:r w:rsidRPr="00A9164B">
        <w:rPr>
          <w:rFonts w:ascii="Palatino Linotype" w:hAnsi="Palatino Linotype"/>
        </w:rPr>
        <w:fldChar w:fldCharType="end"/>
      </w:r>
    </w:p>
  </w:footnote>
  <w:footnote w:id="2">
    <w:p w14:paraId="3DC37939" w14:textId="08324FDB" w:rsidR="00E300C2" w:rsidRDefault="00E300C2">
      <w:pPr>
        <w:pStyle w:val="FootnoteText"/>
      </w:pPr>
      <w:r>
        <w:rPr>
          <w:rStyle w:val="FootnoteReference"/>
        </w:rPr>
        <w:footnoteRef/>
      </w:r>
      <w:r>
        <w:t xml:space="preserve"> </w:t>
      </w:r>
      <w:r>
        <w:fldChar w:fldCharType="begin" w:fldLock="1"/>
      </w:r>
      <w:r>
        <w:instrText>ADDIN CSL_CITATION {"citationItems":[{"id":"ITEM-1","itemData":{"DOI":"10.20884/1.jdh.2014.14.2.291","ISSN":"1410-0797","abstract":"The principles of legal assurance, justice and expediency are properly stipulated in the provisions of the Act Number 37 Year 2004.  The legal assurance is seen by the rapidity of the settlement and the expeditious evidentiary procedure. The justice is reflected in equality principle in the proceeding. Then, the expediency is conceived from the imposition of bankruptcy as the last resort (ultimum remidium ) and the application of open to public-trial. Nevertheless, in certain case laws from the Commercial Court, the principles were not applied harmoniously.  The legal assurance appears to be more emphasized than the other principles. Take for example the bankruptcy case of PT Telekomu-nikasi Phones (District-Commercial Court of Central Jakarta Number: 48/Bankruptcy/2012/PN Nia-ga.Jkt.Pst) that has been reviewed and nullified by the Supreme Court Number: 704K/Pdt.Sus/ 2012).Key words:  legal certainty, justice, expediency, bankruptcy decision. ","author":[{"dropping-particle":"","family":"Wijayanta","given":"Tata","non-dropping-particle":"","parse-names":false,"suffix":""}],"container-title":"Jurnal Dinamika Hukum","id":"ITEM-1","issue":"2","issued":{"date-parts":[["2014"]]},"page":"216-226","title":"Asas Kepastian Hukum, Keadilan Dan Kemanfaatan Dalam Kaitannya Dengan Putusan Kepailitan Pengadilan Niaga","type":"article-journal","volume":"14"},"uris":["http://www.mendeley.com/documents/?uuid=20d10a2a-b6d7-4d5b-8627-8cc8d1d3ec6d"]}],"mendeley":{"formattedCitation":"Tata Wijayanta, ‘Asas Kepastian Hukum, Keadilan Dan Kemanfaatan Dalam Kaitannya Dengan Putusan Kepailitan Pengadilan Niaga’, &lt;i&gt;Jurnal Dinamika Hukum&lt;/i&gt;, 14.2 (2014), 216–26 &lt;https://doi.org/10.20884/1.jdh.2014.14.2.291&gt;.","plainTextFormattedCitation":"Tata Wijayanta, ‘Asas Kepastian Hukum, Keadilan Dan Kemanfaatan Dalam Kaitannya Dengan Putusan Kepailitan Pengadilan Niaga’, Jurnal Dinamika Hukum, 14.2 (2014), 216–26 .","previouslyFormattedCitation":"Tata Wijayanta, ‘Asas Kepastian Hukum, Keadilan Dan Kemanfaatan Dalam Kaitannya Dengan Putusan Kepailitan Pengadilan Niaga’, &lt;i&gt;Jurnal Dinamika Hukum&lt;/i&gt;, 14.2 (2014), 216–26 &lt;https://doi.org/10.20884/1.jdh.2014.14.2.291&gt;."},"properties":{"noteIndex":2},"schema":"https://github.com/citation-style-language/schema/raw/master/csl-citation.json"}</w:instrText>
      </w:r>
      <w:r>
        <w:fldChar w:fldCharType="separate"/>
      </w:r>
      <w:r w:rsidR="00A61653" w:rsidRPr="00A61653">
        <w:rPr>
          <w:noProof/>
        </w:rPr>
        <w:t xml:space="preserve">Tata Wijayanta, ‘Asas Kepastian Hukum, Keadilan Dan Kemanfaatan Dalam Kaitannya Dengan Putusan Kepailitan Pengadilan Niaga’, </w:t>
      </w:r>
      <w:r w:rsidR="00A61653" w:rsidRPr="00A61653">
        <w:rPr>
          <w:i/>
          <w:noProof/>
        </w:rPr>
        <w:t>Jurnal Dinamika Hukum</w:t>
      </w:r>
      <w:r w:rsidR="00A61653" w:rsidRPr="00A61653">
        <w:rPr>
          <w:noProof/>
        </w:rPr>
        <w:t>, 14.2 (2014), 216–26 &lt;https://doi.org/10.20884/1.jdh.2014.14.2.291&gt;.</w:t>
      </w:r>
      <w:r>
        <w:fldChar w:fldCharType="end"/>
      </w:r>
    </w:p>
  </w:footnote>
  <w:footnote w:id="3">
    <w:p w14:paraId="31BE8062" w14:textId="21547264" w:rsidR="00E300C2" w:rsidRPr="00E300C2" w:rsidRDefault="00E300C2">
      <w:pPr>
        <w:pStyle w:val="FootnoteText"/>
        <w:rPr>
          <w:rFonts w:ascii="Palatino Linotype" w:hAnsi="Palatino Linotype"/>
        </w:rPr>
      </w:pPr>
      <w:r w:rsidRPr="00E300C2">
        <w:rPr>
          <w:rStyle w:val="FootnoteReference"/>
          <w:rFonts w:ascii="Palatino Linotype" w:hAnsi="Palatino Linotype"/>
        </w:rPr>
        <w:footnoteRef/>
      </w:r>
      <w:r w:rsidRPr="00E300C2">
        <w:rPr>
          <w:rFonts w:ascii="Palatino Linotype" w:hAnsi="Palatino Linotype"/>
        </w:rPr>
        <w:t xml:space="preserve"> </w:t>
      </w:r>
      <w:r w:rsidRPr="00E300C2">
        <w:rPr>
          <w:rFonts w:ascii="Palatino Linotype" w:hAnsi="Palatino Linotype"/>
        </w:rPr>
        <w:fldChar w:fldCharType="begin" w:fldLock="1"/>
      </w:r>
      <w:r w:rsidR="00A61653">
        <w:rPr>
          <w:rFonts w:ascii="Palatino Linotype" w:hAnsi="Palatino Linotype"/>
        </w:rPr>
        <w:instrText>ADDIN CSL_CITATION {"citationItems":[{"id":"ITEM-1","itemData":{"ISBN":"979342110x","author":[{"dropping-particle":"","family":"Yahya Harahap","given":"M","non-dropping-particle":"","parse-names":false,"suffix":""}],"edition":"2","id":"ITEM-1","issued":{"date-parts":[["2009"]]},"number-of-pages":"6","publisher":"Sinar Grafika","publisher-place":"Jakarta","title":"Ruang lingkup Permasalahan Eksekusi Bidang Perdata","type":"book"},"uris":["http://www.mendeley.com/documents/?uuid=331b7d17-dbe2-49bf-bb0d-062e6025565d"]}],"mendeley":{"formattedCitation":"M Yahya Harahap, &lt;i&gt;Ruang Lingkup Permasalahan Eksekusi Bidang Perdata&lt;/i&gt;, 2nd edn (Jakarta: Sinar Grafika, 2009).","plainTextFormattedCitation":"M Yahya Harahap, Ruang Lingkup Permasalahan Eksekusi Bidang Perdata, 2nd edn (Jakarta: Sinar Grafika, 2009).","previouslyFormattedCitation":"M Yahya Harahap, &lt;i&gt;Ruang Lingkup Permasalahan Eksekusi Bidang Perdata&lt;/i&gt;, 2nd edn (Jakarta: Sinar Grafika, 2009)."},"properties":{"noteIndex":3},"schema":"https://github.com/citation-style-language/schema/raw/master/csl-citation.json"}</w:instrText>
      </w:r>
      <w:r w:rsidRPr="00E300C2">
        <w:rPr>
          <w:rFonts w:ascii="Palatino Linotype" w:hAnsi="Palatino Linotype"/>
        </w:rPr>
        <w:fldChar w:fldCharType="separate"/>
      </w:r>
      <w:r w:rsidR="00D81165" w:rsidRPr="00D81165">
        <w:rPr>
          <w:rFonts w:ascii="Palatino Linotype" w:hAnsi="Palatino Linotype"/>
          <w:noProof/>
        </w:rPr>
        <w:t xml:space="preserve">M Yahya Harahap, </w:t>
      </w:r>
      <w:r w:rsidR="00D81165" w:rsidRPr="00D81165">
        <w:rPr>
          <w:rFonts w:ascii="Palatino Linotype" w:hAnsi="Palatino Linotype"/>
          <w:i/>
          <w:noProof/>
        </w:rPr>
        <w:t>Ruang Lingkup Permasalahan Eksekusi Bidang Perdata</w:t>
      </w:r>
      <w:r w:rsidR="00D81165" w:rsidRPr="00D81165">
        <w:rPr>
          <w:rFonts w:ascii="Palatino Linotype" w:hAnsi="Palatino Linotype"/>
          <w:noProof/>
        </w:rPr>
        <w:t>, 2nd edn (Jakarta: Sinar Grafika, 2009).</w:t>
      </w:r>
      <w:r w:rsidRPr="00E300C2">
        <w:rPr>
          <w:rFonts w:ascii="Palatino Linotype" w:hAnsi="Palatino Linotype"/>
        </w:rPr>
        <w:fldChar w:fldCharType="end"/>
      </w:r>
    </w:p>
  </w:footnote>
  <w:footnote w:id="4">
    <w:p w14:paraId="4C041CC6" w14:textId="125B0C0A" w:rsidR="006D15DB" w:rsidRDefault="006D15DB">
      <w:pPr>
        <w:pStyle w:val="FootnoteText"/>
      </w:pPr>
      <w:r>
        <w:rPr>
          <w:rStyle w:val="FootnoteReference"/>
        </w:rPr>
        <w:footnoteRef/>
      </w:r>
      <w:r>
        <w:t xml:space="preserve"> </w:t>
      </w:r>
      <w:r>
        <w:fldChar w:fldCharType="begin" w:fldLock="1"/>
      </w:r>
      <w:r>
        <w:instrText>ADDIN CSL_CITATION {"citationItems":[{"id":"ITEM-1","itemData":{"author":[{"dropping-particle":"","family":"Badan Pembinaan Hukum Nasional","given":"","non-dropping-particle":"","parse-names":false,"suffix":""}],"id":"ITEM-1","issued":{"date-parts":[["2015"]]},"page":"5","title":"Naskah Akademik Rancangan Undang-Undang Acara Perdata","type":"legislation"},"uris":["http://www.mendeley.com/documents/?uuid=610c6624-0776-4dff-976b-7bacb941a7b6"]}],"mendeley":{"formattedCitation":"Badan Pembinaan Hukum Nasional, &lt;i&gt;Naskah Akademik Rancangan Undang-Undang Acara Perdata&lt;/i&gt;, 2015, p. 5.","plainTextFormattedCitation":"Badan Pembinaan Hukum Nasional, Naskah Akademik Rancangan Undang-Undang Acara Perdata, 2015, p. 5.","previouslyFormattedCitation":"Badan Pembinaan Hukum Nasional, &lt;i&gt;Naskah Akademik Rancangan Undang-Undang Acara Perdata&lt;/i&gt;, 2015, p. 5."},"properties":{"noteIndex":4},"schema":"https://github.com/citation-style-language/schema/raw/master/csl-citation.json"}</w:instrText>
      </w:r>
      <w:r>
        <w:fldChar w:fldCharType="separate"/>
      </w:r>
      <w:r w:rsidRPr="006D15DB">
        <w:rPr>
          <w:noProof/>
        </w:rPr>
        <w:t xml:space="preserve">Badan Pembinaan Hukum Nasional, </w:t>
      </w:r>
      <w:r w:rsidRPr="006D15DB">
        <w:rPr>
          <w:i/>
          <w:noProof/>
        </w:rPr>
        <w:t>Naskah Akademik Rancangan Undang-Undang Acara Perdata</w:t>
      </w:r>
      <w:r w:rsidRPr="006D15DB">
        <w:rPr>
          <w:noProof/>
        </w:rPr>
        <w:t>, 2015, p. 5.</w:t>
      </w:r>
      <w:r>
        <w:fldChar w:fldCharType="end"/>
      </w:r>
    </w:p>
  </w:footnote>
  <w:footnote w:id="5">
    <w:p w14:paraId="6F18448C" w14:textId="0F7F6F7A" w:rsidR="006D15DB" w:rsidRDefault="006D15DB">
      <w:pPr>
        <w:pStyle w:val="FootnoteText"/>
      </w:pPr>
      <w:r>
        <w:rPr>
          <w:rStyle w:val="FootnoteReference"/>
        </w:rPr>
        <w:footnoteRef/>
      </w:r>
      <w:r>
        <w:t xml:space="preserve"> </w:t>
      </w:r>
      <w:r>
        <w:fldChar w:fldCharType="begin" w:fldLock="1"/>
      </w:r>
      <w:r>
        <w:instrText>ADDIN CSL_CITATION {"citationItems":[{"id":"ITEM-1","itemData":{"author":[{"dropping-particle":"","family":"Badan Pembinaan Hukum Nasional","given":"","non-dropping-particle":"","parse-names":false,"suffix":""}],"id":"ITEM-1","issued":{"date-parts":[["2015"]]},"page":"5","title":"Naskah Akademik Rancangan Undang-Undang Acara Perdata","type":"legislation"},"uris":["http://www.mendeley.com/documents/?uuid=610c6624-0776-4dff-976b-7bacb941a7b6"]}],"mendeley":{"formattedCitation":"Badan Pembinaan Hukum Nasional.","plainTextFormattedCitation":"Badan Pembinaan Hukum Nasional.","previouslyFormattedCitation":"Badan Pembinaan Hukum Nasional."},"properties":{"noteIndex":5},"schema":"https://github.com/citation-style-language/schema/raw/master/csl-citation.json"}</w:instrText>
      </w:r>
      <w:r>
        <w:fldChar w:fldCharType="separate"/>
      </w:r>
      <w:r w:rsidRPr="006D15DB">
        <w:rPr>
          <w:noProof/>
        </w:rPr>
        <w:t>Badan Pembinaan Hukum Nasional.</w:t>
      </w:r>
      <w:r>
        <w:fldChar w:fldCharType="end"/>
      </w:r>
    </w:p>
  </w:footnote>
  <w:footnote w:id="6">
    <w:p w14:paraId="751CF530" w14:textId="16B64366" w:rsidR="006D15DB" w:rsidRDefault="006D15DB">
      <w:pPr>
        <w:pStyle w:val="FootnoteText"/>
      </w:pPr>
      <w:r>
        <w:rPr>
          <w:rStyle w:val="FootnoteReference"/>
        </w:rPr>
        <w:footnoteRef/>
      </w:r>
      <w:r>
        <w:t xml:space="preserve"> </w:t>
      </w:r>
      <w:r>
        <w:fldChar w:fldCharType="begin" w:fldLock="1"/>
      </w:r>
      <w:r w:rsidR="00D81165">
        <w:instrText>ADDIN CSL_CITATION {"citationItems":[{"id":"ITEM-1","itemData":{"ISBN":"979342110x","author":[{"dropping-particle":"","family":"Yahya Harahap","given":"M","non-dropping-particle":"","parse-names":false,"suffix":""}],"edition":"2","id":"ITEM-1","issued":{"date-parts":[["2009"]]},"number-of-pages":"6","publisher":"Sinar Grafika","publisher-place":"Jakarta","title":"Ruang lingkup Permasalahan Eksekusi Bidang Perdata","type":"book"},"uris":["http://www.mendeley.com/documents/?uuid=331b7d17-dbe2-49bf-bb0d-062e6025565d"]}],"mendeley":{"formattedCitation":"Yahya Harahap.","plainTextFormattedCitation":"Yahya Harahap.","previouslyFormattedCitation":"Yahya Harahap."},"properties":{"noteIndex":6},"schema":"https://github.com/citation-style-language/schema/raw/master/csl-citation.json"}</w:instrText>
      </w:r>
      <w:r>
        <w:fldChar w:fldCharType="separate"/>
      </w:r>
      <w:r w:rsidRPr="006D15DB">
        <w:rPr>
          <w:noProof/>
        </w:rPr>
        <w:t>Yahya Harahap.</w:t>
      </w:r>
      <w:r>
        <w:fldChar w:fldCharType="end"/>
      </w:r>
    </w:p>
  </w:footnote>
  <w:footnote w:id="7">
    <w:p w14:paraId="73469C3F" w14:textId="50778B41" w:rsidR="006D15DB" w:rsidRPr="00D81165" w:rsidRDefault="006D15DB">
      <w:pPr>
        <w:pStyle w:val="FootnoteText"/>
        <w:rPr>
          <w:rFonts w:ascii="Palatino Linotype" w:hAnsi="Palatino Linotype"/>
        </w:rPr>
      </w:pPr>
      <w:r w:rsidRPr="00D81165">
        <w:rPr>
          <w:rStyle w:val="FootnoteReference"/>
          <w:rFonts w:ascii="Palatino Linotype" w:hAnsi="Palatino Linotype"/>
        </w:rPr>
        <w:footnoteRef/>
      </w:r>
      <w:r w:rsidRPr="00D81165">
        <w:rPr>
          <w:rFonts w:ascii="Palatino Linotype" w:hAnsi="Palatino Linotype"/>
        </w:rPr>
        <w:t xml:space="preserve"> </w:t>
      </w:r>
      <w:r w:rsidRPr="00D81165">
        <w:rPr>
          <w:rFonts w:ascii="Palatino Linotype" w:hAnsi="Palatino Linotype"/>
        </w:rPr>
        <w:fldChar w:fldCharType="begin" w:fldLock="1"/>
      </w:r>
      <w:r w:rsidR="00D81165" w:rsidRPr="00D81165">
        <w:rPr>
          <w:rFonts w:ascii="Palatino Linotype" w:hAnsi="Palatino Linotype"/>
        </w:rPr>
        <w:instrText>ADDIN CSL_CITATION {"citationItems":[{"id":"ITEM-1","itemData":{"ISBN":"979342110x","author":[{"dropping-particle":"","family":"Yahya Harahap","given":"M","non-dropping-particle":"","parse-names":false,"suffix":""}],"edition":"2","id":"ITEM-1","issued":{"date-parts":[["2009"]]},"number-of-pages":"6","publisher":"Sinar Grafika","publisher-place":"Jakarta","title":"Ruang lingkup Permasalahan Eksekusi Bidang Perdata","type":"book"},"uris":["http://www.mendeley.com/documents/?uuid=331b7d17-dbe2-49bf-bb0d-062e6025565d"]}],"mendeley":{"formattedCitation":"Yahya Harahap.","plainTextFormattedCitation":"Yahya Harahap.","previouslyFormattedCitation":"Yahya Harahap."},"properties":{"noteIndex":7},"schema":"https://github.com/citation-style-language/schema/raw/master/csl-citation.json"}</w:instrText>
      </w:r>
      <w:r w:rsidRPr="00D81165">
        <w:rPr>
          <w:rFonts w:ascii="Palatino Linotype" w:hAnsi="Palatino Linotype"/>
        </w:rPr>
        <w:fldChar w:fldCharType="separate"/>
      </w:r>
      <w:r w:rsidRPr="00D81165">
        <w:rPr>
          <w:rFonts w:ascii="Palatino Linotype" w:hAnsi="Palatino Linotype"/>
          <w:noProof/>
        </w:rPr>
        <w:t>Yahya Harahap.</w:t>
      </w:r>
      <w:r w:rsidRPr="00D81165">
        <w:rPr>
          <w:rFonts w:ascii="Palatino Linotype" w:hAnsi="Palatino Linotype"/>
        </w:rPr>
        <w:fldChar w:fldCharType="end"/>
      </w:r>
    </w:p>
  </w:footnote>
  <w:footnote w:id="8">
    <w:p w14:paraId="458C723C" w14:textId="0656689A" w:rsidR="00D81165" w:rsidRPr="00D81165" w:rsidRDefault="00D81165">
      <w:pPr>
        <w:pStyle w:val="FootnoteText"/>
        <w:rPr>
          <w:rFonts w:ascii="Palatino Linotype" w:hAnsi="Palatino Linotype"/>
        </w:rPr>
      </w:pPr>
      <w:r w:rsidRPr="00D81165">
        <w:rPr>
          <w:rStyle w:val="FootnoteReference"/>
          <w:rFonts w:ascii="Palatino Linotype" w:hAnsi="Palatino Linotype"/>
        </w:rPr>
        <w:footnoteRef/>
      </w:r>
      <w:r w:rsidRPr="00D81165">
        <w:rPr>
          <w:rFonts w:ascii="Palatino Linotype" w:hAnsi="Palatino Linotype"/>
        </w:rPr>
        <w:t xml:space="preserve"> </w:t>
      </w:r>
      <w:r w:rsidRPr="00D81165">
        <w:rPr>
          <w:rFonts w:ascii="Palatino Linotype" w:hAnsi="Palatino Linotype"/>
        </w:rPr>
        <w:fldChar w:fldCharType="begin" w:fldLock="1"/>
      </w:r>
      <w:r w:rsidRPr="00D81165">
        <w:rPr>
          <w:rFonts w:ascii="Palatino Linotype" w:hAnsi="Palatino Linotype"/>
        </w:rPr>
        <w:instrText>ADDIN CSL_CITATION {"citationItems":[{"id":"ITEM-1","itemData":{"author":[{"dropping-particle":"","family":"Dewan Perwakilan Rakyat","given":"","non-dropping-particle":"","parse-names":false,"suffix":""}],"id":"ITEM-1","issued":{"date-parts":[["1999"]]},"title":"Undang-Undang Republik Indonesia Nomor 42 Tahun 1999 Pasal 15 Ayat 2","type":"legislation"},"uris":["http://www.mendeley.com/documents/?uuid=7fb88290-b3b9-407c-8456-9792644e1794"]}],"mendeley":{"formattedCitation":"Dewan Perwakilan Rakyat, &lt;i&gt;Undang-Undang Republik Indonesia Nomor 42 Tahun 1999 Pasal 15 Ayat 2&lt;/i&gt;, 1999.","plainTextFormattedCitation":"Dewan Perwakilan Rakyat, Undang-Undang Republik Indonesia Nomor 42 Tahun 1999 Pasal 15 Ayat 2, 1999.","previouslyFormattedCitation":"Dewan Perwakilan Rakyat, &lt;i&gt;Undang-Undang Republik Indonesia Nomor 42 Tahun 1999 Pasal 15 Ayat 2&lt;/i&gt;, 1999."},"properties":{"noteIndex":8},"schema":"https://github.com/citation-style-language/schema/raw/master/csl-citation.json"}</w:instrText>
      </w:r>
      <w:r w:rsidRPr="00D81165">
        <w:rPr>
          <w:rFonts w:ascii="Palatino Linotype" w:hAnsi="Palatino Linotype"/>
        </w:rPr>
        <w:fldChar w:fldCharType="separate"/>
      </w:r>
      <w:r w:rsidRPr="00D81165">
        <w:rPr>
          <w:rFonts w:ascii="Palatino Linotype" w:hAnsi="Palatino Linotype"/>
          <w:noProof/>
        </w:rPr>
        <w:t xml:space="preserve">Dewan Perwakilan Rakyat, </w:t>
      </w:r>
      <w:r w:rsidRPr="00D81165">
        <w:rPr>
          <w:rFonts w:ascii="Palatino Linotype" w:hAnsi="Palatino Linotype"/>
          <w:i/>
          <w:noProof/>
        </w:rPr>
        <w:t>Undang-Undang Republik Indonesia Nomor 42 Tahun 1999 Pasal 15 Ayat 2</w:t>
      </w:r>
      <w:r w:rsidRPr="00D81165">
        <w:rPr>
          <w:rFonts w:ascii="Palatino Linotype" w:hAnsi="Palatino Linotype"/>
          <w:noProof/>
        </w:rPr>
        <w:t>, 1999.</w:t>
      </w:r>
      <w:r w:rsidRPr="00D81165">
        <w:rPr>
          <w:rFonts w:ascii="Palatino Linotype" w:hAnsi="Palatino Linotype"/>
        </w:rPr>
        <w:fldChar w:fldCharType="end"/>
      </w:r>
    </w:p>
  </w:footnote>
  <w:footnote w:id="9">
    <w:p w14:paraId="064AF95F" w14:textId="3DF8257B" w:rsidR="00D81165" w:rsidRDefault="00D81165">
      <w:pPr>
        <w:pStyle w:val="FootnoteText"/>
      </w:pPr>
      <w:r w:rsidRPr="00D81165">
        <w:rPr>
          <w:rStyle w:val="FootnoteReference"/>
          <w:rFonts w:ascii="Palatino Linotype" w:hAnsi="Palatino Linotype"/>
        </w:rPr>
        <w:footnoteRef/>
      </w:r>
      <w:r w:rsidRPr="00D81165">
        <w:rPr>
          <w:rFonts w:ascii="Palatino Linotype" w:hAnsi="Palatino Linotype"/>
        </w:rPr>
        <w:t xml:space="preserve"> </w:t>
      </w:r>
      <w:r w:rsidRPr="00D81165">
        <w:rPr>
          <w:rFonts w:ascii="Palatino Linotype" w:hAnsi="Palatino Linotype"/>
        </w:rPr>
        <w:fldChar w:fldCharType="begin" w:fldLock="1"/>
      </w:r>
      <w:r w:rsidR="00A61653">
        <w:rPr>
          <w:rFonts w:ascii="Palatino Linotype" w:hAnsi="Palatino Linotype"/>
        </w:rPr>
        <w:instrText>ADDIN CSL_CITATION {"citationItems":[{"id":"ITEM-1","itemData":{"author":[{"dropping-particle":"","family":"Anggoro","given":"Teddy","non-dropping-particle":"","parse-names":false,"suffix":""}],"container-title":"Jurnal Hukum dan Pembangunan","id":"ITEM-1","issue":"X","issued":{"date-parts":[["2007"]]},"title":"Parate Eksekusi: Hak Kreditur, Yang Menderogasi Hukum Formil (Suatu Pemahaman Dasar dan Mendalam)","type":"article-journal","volume":"4"},"uris":["http://www.mendeley.com/documents/?uuid=697769e1-4561-487b-b02f-be64d10cc6bf"]}],"mendeley":{"formattedCitation":"Teddy Anggoro, ‘Parate Eksekusi: Hak Kreditur, Yang Menderogasi Hukum Formil (Suatu Pemahaman Dasar Dan Mendalam)’, &lt;i&gt;Jurnal Hukum Dan Pembangunan&lt;/i&gt;, 4.X (2007).","plainTextFormattedCitation":"Teddy Anggoro, ‘Parate Eksekusi: Hak Kreditur, Yang Menderogasi Hukum Formil (Suatu Pemahaman Dasar Dan Mendalam)’, Jurnal Hukum Dan Pembangunan, 4.X (2007).","previouslyFormattedCitation":"Teddy Anggoro, ‘Parate Eksekusi: Hak Kreditur, Yang Menderogasi Hukum Formil (Suatu Pemahaman Dasar Dan Mendalam)’, &lt;i&gt;Jurnal Hukum Dan Pembangunan&lt;/i&gt;, 4.X (2007)."},"properties":{"noteIndex":9},"schema":"https://github.com/citation-style-language/schema/raw/master/csl-citation.json"}</w:instrText>
      </w:r>
      <w:r w:rsidRPr="00D81165">
        <w:rPr>
          <w:rFonts w:ascii="Palatino Linotype" w:hAnsi="Palatino Linotype"/>
        </w:rPr>
        <w:fldChar w:fldCharType="separate"/>
      </w:r>
      <w:r w:rsidRPr="00D81165">
        <w:rPr>
          <w:rFonts w:ascii="Palatino Linotype" w:hAnsi="Palatino Linotype"/>
          <w:noProof/>
        </w:rPr>
        <w:t xml:space="preserve">Teddy Anggoro, ‘Parate Eksekusi: Hak Kreditur, Yang Menderogasi Hukum Formil (Suatu Pemahaman Dasar Dan Mendalam)’, </w:t>
      </w:r>
      <w:r w:rsidRPr="00D81165">
        <w:rPr>
          <w:rFonts w:ascii="Palatino Linotype" w:hAnsi="Palatino Linotype"/>
          <w:i/>
          <w:noProof/>
        </w:rPr>
        <w:t>Jurnal Hukum Dan Pembangunan</w:t>
      </w:r>
      <w:r w:rsidRPr="00D81165">
        <w:rPr>
          <w:rFonts w:ascii="Palatino Linotype" w:hAnsi="Palatino Linotype"/>
          <w:noProof/>
        </w:rPr>
        <w:t>, 4.X (2007).</w:t>
      </w:r>
      <w:r w:rsidRPr="00D81165">
        <w:rPr>
          <w:rFonts w:ascii="Palatino Linotype" w:hAnsi="Palatino Linotype"/>
        </w:rPr>
        <w:fldChar w:fldCharType="end"/>
      </w:r>
    </w:p>
  </w:footnote>
  <w:footnote w:id="10">
    <w:p w14:paraId="3B3B17F7" w14:textId="3807F3F4" w:rsidR="00A61653" w:rsidRPr="00A61653" w:rsidRDefault="00A61653">
      <w:pPr>
        <w:pStyle w:val="FootnoteText"/>
        <w:rPr>
          <w:rFonts w:ascii="Palatino Linotype" w:hAnsi="Palatino Linotype"/>
        </w:rPr>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sidRPr="00A61653">
        <w:rPr>
          <w:rFonts w:ascii="Palatino Linotype" w:hAnsi="Palatino Linotype"/>
        </w:rPr>
        <w:instrText>ADDIN CSL_CITATION {"citationItems":[{"id":"ITEM-1","itemData":{"author":[{"dropping-particle":"","family":"Subekti","given":"R","non-dropping-particle":"","parse-names":false,"suffix":""}],"id":"ITEM-1","issued":{"date-parts":[["2013"]]},"number-of-pages":"59","publisher":"Pembimbing Masa","publisher-place":"Jakarta","title":"Hukum Perjanjian","type":"book"},"uris":["http://www.mendeley.com/documents/?uuid=f1cc34e1-efb1-4493-8c1c-733f22a558f4"]}],"mendeley":{"formattedCitation":"R Subekti, &lt;i&gt;Hukum Perjanjian&lt;/i&gt; (Jakarta: Pembimbing Masa, 2013).","plainTextFormattedCitation":"R Subekti, Hukum Perjanjian (Jakarta: Pembimbing Masa, 2013).","previouslyFormattedCitation":"R Subekti, &lt;i&gt;Hukum Perjanjian&lt;/i&gt; (Jakarta: Pembimbing Masa, 2013)."},"properties":{"noteIndex":10},"schema":"https://github.com/citation-style-language/schema/raw/master/csl-citation.json"}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 xml:space="preserve">R Subekti, </w:t>
      </w:r>
      <w:r w:rsidRPr="00A61653">
        <w:rPr>
          <w:rFonts w:ascii="Palatino Linotype" w:hAnsi="Palatino Linotype"/>
          <w:i/>
          <w:noProof/>
        </w:rPr>
        <w:t>Hukum Perjanjian</w:t>
      </w:r>
      <w:r w:rsidRPr="00A61653">
        <w:rPr>
          <w:rFonts w:ascii="Palatino Linotype" w:hAnsi="Palatino Linotype"/>
          <w:noProof/>
        </w:rPr>
        <w:t xml:space="preserve"> (Jakarta: Pembimbing Masa, 2013).</w:t>
      </w:r>
      <w:r w:rsidRPr="00A61653">
        <w:rPr>
          <w:rFonts w:ascii="Palatino Linotype" w:hAnsi="Palatino Linotype"/>
        </w:rPr>
        <w:fldChar w:fldCharType="end"/>
      </w:r>
    </w:p>
  </w:footnote>
  <w:footnote w:id="11">
    <w:p w14:paraId="08A4CCA2" w14:textId="4B3F24AB" w:rsidR="00A61653" w:rsidRDefault="00A61653">
      <w:pPr>
        <w:pStyle w:val="FootnoteText"/>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Pr>
          <w:rFonts w:ascii="Palatino Linotype" w:hAnsi="Palatino Linotype"/>
        </w:rPr>
        <w:instrText>ADDIN CSL_CITATION {"citationItems":[{"id":"ITEM-1","itemData":{"author":[{"dropping-particle":"","family":"Khairandy","given":"Ridwan","non-dropping-particle":"","parse-names":false,"suffix":""}],"id":"ITEM-1","issued":{"date-parts":[["2014"]]},"number-of-pages":"66","publisher":"FH UII Press","publisher-place":"Yogyakarta","title":"Hukum Kontrak Indonesia (Dalam Perspektif Perbandingan)","type":"book"},"uris":["http://www.mendeley.com/documents/?uuid=2ddd3b90-4d4b-49dc-a6a2-64e142bccc8a"]}],"mendeley":{"formattedCitation":"Ridwan Khairandy, &lt;i&gt;Hukum Kontrak Indonesia (Dalam Perspektif Perbandingan)&lt;/i&gt; (Yogyakarta: FH UII Press, 2014).","plainTextFormattedCitation":"Ridwan Khairandy, Hukum Kontrak Indonesia (Dalam Perspektif Perbandingan) (Yogyakarta: FH UII Press, 2014).","previouslyFormattedCitation":"Ridwan Khairandy, &lt;i&gt;Hukum Kontrak Indonesia (Dalam Perspektif Perbandingan)&lt;/i&gt; (Yogyakarta: FH UII Press, 2014)."},"properties":{"noteIndex":11},"schema":"https://github.com/citation-style-language/schema/raw/master/csl-citation.json"}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 xml:space="preserve">Ridwan Khairandy, </w:t>
      </w:r>
      <w:r w:rsidRPr="00A61653">
        <w:rPr>
          <w:rFonts w:ascii="Palatino Linotype" w:hAnsi="Palatino Linotype"/>
          <w:i/>
          <w:noProof/>
        </w:rPr>
        <w:t>Hukum Kontrak Indonesia (Dalam Perspektif Perbandingan)</w:t>
      </w:r>
      <w:r w:rsidRPr="00A61653">
        <w:rPr>
          <w:rFonts w:ascii="Palatino Linotype" w:hAnsi="Palatino Linotype"/>
          <w:noProof/>
        </w:rPr>
        <w:t xml:space="preserve"> (Yogyakarta: FH UII Press, 2014).</w:t>
      </w:r>
      <w:r w:rsidRPr="00A61653">
        <w:rPr>
          <w:rFonts w:ascii="Palatino Linotype" w:hAnsi="Palatino Linotype"/>
        </w:rPr>
        <w:fldChar w:fldCharType="end"/>
      </w:r>
    </w:p>
  </w:footnote>
  <w:footnote w:id="12">
    <w:p w14:paraId="0582B378" w14:textId="0F65432F" w:rsidR="00A61653" w:rsidRPr="00A61653" w:rsidRDefault="00A61653">
      <w:pPr>
        <w:pStyle w:val="FootnoteText"/>
        <w:rPr>
          <w:rFonts w:ascii="Palatino Linotype" w:hAnsi="Palatino Linotype"/>
        </w:rPr>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Pr>
          <w:rFonts w:ascii="Palatino Linotype" w:hAnsi="Palatino Linotype"/>
        </w:rPr>
        <w:instrText>ADDIN CSL_CITATION {"citationItems":[{"id":"ITEM-1","itemData":{"author":[{"dropping-particle":"","family":"Satrio","given":"J","non-dropping-particle":"","parse-names":false,"suffix":""}],"id":"ITEM-1","issued":{"date-parts":[["1993"]]},"number-of-pages":"105","publisher":"Alumni","publisher-place":"Bandung","title":"Hukum Perikatan Pada Umumnya","type":"book"},"uris":["http://www.mendeley.com/documents/?uuid=593982cb-999e-4154-b5d7-ef36d10681b2"]}],"mendeley":{"formattedCitation":"J Satrio, &lt;i&gt;Hukum Perikatan Pada Umumnya&lt;/i&gt; (Bandung: Alumni, 1993).","plainTextFormattedCitation":"J Satrio, Hukum Perikatan Pada Umumnya (Bandung: Alumni, 1993).","previouslyFormattedCitation":"J Satrio, &lt;i&gt;Hukum Perikatan Pada Umumnya&lt;/i&gt; (Bandung: Alumni, 1993)."},"properties":{"noteIndex":12},"schema":"https://github.com/citation-style-language/schema/raw/master/csl-citation.json"}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 xml:space="preserve">J Satrio, </w:t>
      </w:r>
      <w:r w:rsidRPr="00A61653">
        <w:rPr>
          <w:rFonts w:ascii="Palatino Linotype" w:hAnsi="Palatino Linotype"/>
          <w:i/>
          <w:noProof/>
        </w:rPr>
        <w:t>Hukum Perikatan Pada Umumnya</w:t>
      </w:r>
      <w:r w:rsidRPr="00A61653">
        <w:rPr>
          <w:rFonts w:ascii="Palatino Linotype" w:hAnsi="Palatino Linotype"/>
          <w:noProof/>
        </w:rPr>
        <w:t xml:space="preserve"> (Bandung: Alumni, 1993).</w:t>
      </w:r>
      <w:r w:rsidRPr="00A61653">
        <w:rPr>
          <w:rFonts w:ascii="Palatino Linotype" w:hAnsi="Palatino Linotype"/>
        </w:rPr>
        <w:fldChar w:fldCharType="end"/>
      </w:r>
    </w:p>
  </w:footnote>
  <w:footnote w:id="13">
    <w:p w14:paraId="012A8F9F" w14:textId="1CDE1426" w:rsidR="00A61653" w:rsidRPr="00A61653" w:rsidRDefault="00A61653">
      <w:pPr>
        <w:pStyle w:val="FootnoteText"/>
        <w:rPr>
          <w:rFonts w:ascii="Palatino Linotype" w:hAnsi="Palatino Linotype"/>
        </w:rPr>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Pr>
          <w:rFonts w:ascii="Palatino Linotype" w:hAnsi="Palatino Linotype"/>
        </w:rPr>
        <w:instrText>ADDIN CSL_CITATION {"citationItems":[{"id":"ITEM-1","itemData":{"author":[{"dropping-particle":"","family":"Raharjo","given":"Satjipto","non-dropping-particle":"","parse-names":false,"suffix":""}],"id":"ITEM-1","issued":{"date-parts":[["2000"]]},"number-of-pages":"134","publisher":"PT. Citra Aditya Bakti","publisher-place":"Bandung","title":"Ilmu Hukum","type":"book"},"uris":["http://www.mendeley.com/documents/?uuid=d983e69a-6a66-4d79-85e7-0dbb3e165046"]}],"mendeley":{"formattedCitation":"Satjipto Raharjo, &lt;i&gt;Ilmu Hukum&lt;/i&gt; (Bandung: PT. Citra Aditya Bakti, 2000).","plainTextFormattedCitation":"Satjipto Raharjo, Ilmu Hukum (Bandung: PT. Citra Aditya Bakti, 2000).","previouslyFormattedCitation":"Satjipto Raharjo, &lt;i&gt;Ilmu Hukum&lt;/i&gt; (Bandung: PT. Citra Aditya Bakti, 2000)."},"properties":{"noteIndex":13},"schema":"https://github.com/citation-style-language/schema/raw/master/csl-citation.json"}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 xml:space="preserve">Satjipto Raharjo, </w:t>
      </w:r>
      <w:r w:rsidRPr="00A61653">
        <w:rPr>
          <w:rFonts w:ascii="Palatino Linotype" w:hAnsi="Palatino Linotype"/>
          <w:i/>
          <w:noProof/>
        </w:rPr>
        <w:t>Ilmu Hukum</w:t>
      </w:r>
      <w:r w:rsidRPr="00A61653">
        <w:rPr>
          <w:rFonts w:ascii="Palatino Linotype" w:hAnsi="Palatino Linotype"/>
          <w:noProof/>
        </w:rPr>
        <w:t xml:space="preserve"> (Bandung: PT. Citra Aditya Bakti, 2000).</w:t>
      </w:r>
      <w:r w:rsidRPr="00A61653">
        <w:rPr>
          <w:rFonts w:ascii="Palatino Linotype" w:hAnsi="Palatino Linotype"/>
        </w:rPr>
        <w:fldChar w:fldCharType="end"/>
      </w:r>
    </w:p>
  </w:footnote>
  <w:footnote w:id="14">
    <w:p w14:paraId="5F64688F" w14:textId="72DF0A47" w:rsidR="00A61653" w:rsidRPr="00A61653" w:rsidRDefault="00A61653">
      <w:pPr>
        <w:pStyle w:val="FootnoteText"/>
        <w:rPr>
          <w:rFonts w:ascii="Palatino Linotype" w:hAnsi="Palatino Linotype"/>
        </w:rPr>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sidRPr="00A61653">
        <w:rPr>
          <w:rFonts w:ascii="Palatino Linotype" w:hAnsi="Palatino Linotype"/>
        </w:rPr>
        <w:instrText>ADDIN CSL_CITATION {"citationItems":[{"id":"ITEM-1","itemData":{"author":[{"dropping-particle":"","family":"Djuhana","given":"Muhammad","non-dropping-particle":"","parse-names":false,"suffix":""}],"id":"ITEM-1","issued":{"date-parts":[["2000"]]},"publisher":"PT. Citra Aditya Bakti","publisher-place":"Bandung","title":"Banking Law Indonesia","type":"book"},"uris":["http://www.mendeley.com/documents/?uuid=939258bb-2b77-4a67-b3db-7d7ae6b26985"]}],"mendeley":{"formattedCitation":"Muhammad Djuhana, &lt;i&gt;Banking Law Indonesia&lt;/i&gt; (Bandung: PT. Citra Aditya Bakti, 2000).","plainTextFormattedCitation":"Muhammad Djuhana, Banking Law Indonesia (Bandung: PT. Citra Aditya Bakti, 2000).","previouslyFormattedCitation":"Muhammad Djuhana, &lt;i&gt;Banking Law Indonesia&lt;/i&gt; (Bandung: PT. Citra Aditya Bakti, 2000)."},"properties":{"noteIndex":14},"schema":"https://github.com/citation-style-language/schema/raw/master/csl-citation.json"}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 xml:space="preserve">Muhammad Djuhana, </w:t>
      </w:r>
      <w:r w:rsidRPr="00A61653">
        <w:rPr>
          <w:rFonts w:ascii="Palatino Linotype" w:hAnsi="Palatino Linotype"/>
          <w:i/>
          <w:noProof/>
        </w:rPr>
        <w:t>Banking Law Indonesia</w:t>
      </w:r>
      <w:r w:rsidRPr="00A61653">
        <w:rPr>
          <w:rFonts w:ascii="Palatino Linotype" w:hAnsi="Palatino Linotype"/>
          <w:noProof/>
        </w:rPr>
        <w:t xml:space="preserve"> (Bandung: PT. Citra Aditya Bakti, 2000).</w:t>
      </w:r>
      <w:r w:rsidRPr="00A61653">
        <w:rPr>
          <w:rFonts w:ascii="Palatino Linotype" w:hAnsi="Palatino Linotype"/>
        </w:rPr>
        <w:fldChar w:fldCharType="end"/>
      </w:r>
    </w:p>
  </w:footnote>
  <w:footnote w:id="15">
    <w:p w14:paraId="55526E51" w14:textId="6CF9B73C" w:rsidR="00A61653" w:rsidRDefault="00A61653">
      <w:pPr>
        <w:pStyle w:val="FootnoteText"/>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Pr>
          <w:rFonts w:ascii="Palatino Linotype" w:hAnsi="Palatino Linotype"/>
        </w:rPr>
        <w:instrText>ADDIN CSL_CITATION {"citationItems":[{"id":"ITEM-1","itemData":{"author":[{"dropping-particle":"","family":"Dewan Perwakilan Rakyat","given":"","non-dropping-particle":"","parse-names":false,"suffix":""}],"id":"ITEM-1","issued":{"date-parts":[["2019"]]},"title":"Undang-Undang Republik Indonesia Nomor 15 Tahun 2019","type":"legislation"},"uris":["http://www.mendeley.com/documents/?uuid=f81c4218-c22e-4ed7-b07c-328c6a2ff347"]}],"mendeley":{"formattedCitation":"Dewan Perwakilan Rakyat, &lt;i&gt;Undang-Undang Republik Indonesia Nomor 15 Tahun 2019&lt;/i&gt;, 2019.","plainTextFormattedCitation":"Dewan Perwakilan Rakyat, Undang-Undang Republik Indonesia Nomor 15 Tahun 2019, 2019.","previouslyFormattedCitation":"Dewan Perwakilan Rakyat, &lt;i&gt;Undang-Undang Republik Indonesia Nomor 15 Tahun 2019&lt;/i&gt;, 2019."},"properties":{"noteIndex":15},"schema":"https://github.com/citation-style-language/schema/raw/master/csl-citation.json"}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 xml:space="preserve">Dewan Perwakilan Rakyat, </w:t>
      </w:r>
      <w:r w:rsidRPr="00A61653">
        <w:rPr>
          <w:rFonts w:ascii="Palatino Linotype" w:hAnsi="Palatino Linotype"/>
          <w:i/>
          <w:noProof/>
        </w:rPr>
        <w:t>Undang-Undang Republik Indonesia Nomor 15 Tahun 2019</w:t>
      </w:r>
      <w:r w:rsidRPr="00A61653">
        <w:rPr>
          <w:rFonts w:ascii="Palatino Linotype" w:hAnsi="Palatino Linotype"/>
          <w:noProof/>
        </w:rPr>
        <w:t>, 2019.</w:t>
      </w:r>
      <w:r w:rsidRPr="00A61653">
        <w:rPr>
          <w:rFonts w:ascii="Palatino Linotype" w:hAnsi="Palatino Linotype"/>
        </w:rPr>
        <w:fldChar w:fldCharType="end"/>
      </w:r>
    </w:p>
  </w:footnote>
  <w:footnote w:id="16">
    <w:p w14:paraId="501FEA18" w14:textId="1924C4CF" w:rsidR="00A61653" w:rsidRPr="00A61653" w:rsidRDefault="00A61653">
      <w:pPr>
        <w:pStyle w:val="FootnoteText"/>
        <w:rPr>
          <w:rFonts w:ascii="Palatino Linotype" w:hAnsi="Palatino Linotype"/>
        </w:rPr>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sidRPr="00A61653">
        <w:rPr>
          <w:rFonts w:ascii="Palatino Linotype" w:hAnsi="Palatino Linotype"/>
        </w:rPr>
        <w:instrText>ADDIN CSL_CITATION {"citationItems":[{"id":"ITEM-1","itemData":{"DOI":"10.20884/1.jdh.2014.14.2.291","ISSN":"1410-0797","abstract":"The principles of legal assurance, justice and expediency are properly stipulated in the provisions of the Act Number 37 Year 2004.  The legal assurance is seen by the rapidity of the settlement and the expeditious evidentiary procedure. The justice is reflected in equality principle in the proceeding. Then, the expediency is conceived from the imposition of bankruptcy as the last resort (ultimum remidium ) and the application of open to public-trial. Nevertheless, in certain case laws from the Commercial Court, the principles were not applied harmoniously.  The legal assurance appears to be more emphasized than the other principles. Take for example the bankruptcy case of PT Telekomu-nikasi Phones (District-Commercial Court of Central Jakarta Number: 48/Bankruptcy/2012/PN Nia-ga.Jkt.Pst) that has been reviewed and nullified by the Supreme Court Number: 704K/Pdt.Sus/ 2012).Key words:  legal certainty, justice, expediency, bankruptcy decision. ","author":[{"dropping-particle":"","family":"Wijayanta","given":"Tata","non-dropping-particle":"","parse-names":false,"suffix":""}],"container-title":"Jurnal Dinamika Hukum","id":"ITEM-1","issue":"2","issued":{"date-parts":[["2014"]]},"page":"216-226","title":"Asas Kepastian Hukum, Keadilan Dan Kemanfaatan Dalam Kaitannya Dengan Putusan Kepailitan Pengadilan Niaga","type":"article-journal","volume":"14"},"uris":["http://www.mendeley.com/documents/?uuid=20d10a2a-b6d7-4d5b-8627-8cc8d1d3ec6d"]}],"mendeley":{"formattedCitation":"Wijayanta.","plainTextFormattedCitation":"Wijayanta.","previouslyFormattedCitation":"Wijayanta."},"properties":{"noteIndex":16},"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Wijayanta.</w:t>
      </w:r>
      <w:r w:rsidRPr="00A61653">
        <w:rPr>
          <w:rFonts w:ascii="Palatino Linotype" w:hAnsi="Palatino Linotype"/>
        </w:rPr>
        <w:fldChar w:fldCharType="end"/>
      </w:r>
    </w:p>
  </w:footnote>
  <w:footnote w:id="17">
    <w:p w14:paraId="15496B9B" w14:textId="6597B341" w:rsidR="00A61653" w:rsidRPr="00A61653" w:rsidRDefault="00A61653">
      <w:pPr>
        <w:pStyle w:val="FootnoteText"/>
        <w:rPr>
          <w:rFonts w:ascii="Palatino Linotype" w:hAnsi="Palatino Linotype"/>
        </w:rPr>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sidRPr="00A61653">
        <w:rPr>
          <w:rFonts w:ascii="Palatino Linotype" w:hAnsi="Palatino Linotype"/>
        </w:rPr>
        <w:instrText>ADDIN CSL_CITATION {"citationItems":[{"id":"ITEM-1","itemData":{"author":[{"dropping-particle":"","family":"Aswan","given":"","non-dropping-particle":"","parse-names":false,"suffix":""}],"id":"ITEM-1","issued":{"date-parts":[["2019"]]},"number-of-pages":"49","publisher":"Guepedia","publisher-place":"Bogor","title":"Seni Belajar Hukum","type":"book"},"uris":["http://www.mendeley.com/documents/?uuid=cdb2c294-8aae-4d57-99d5-554ae97ca244"]}],"mendeley":{"formattedCitation":"Aswan, &lt;i&gt;Seni Belajar Hukum&lt;/i&gt; (Bogor: Guepedia, 2019).","plainTextFormattedCitation":"Aswan, Seni Belajar Hukum (Bogor: Guepedia, 2019).","previouslyFormattedCitation":"Aswan, &lt;i&gt;Seni Belajar Hukum&lt;/i&gt; (Bogor: Guepedia, 2019)."},"properties":{"noteIndex":17},"schema":"https://github.com/citation-style-language/schema/raw/master/csl-citation.json"}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 xml:space="preserve">Aswan, </w:t>
      </w:r>
      <w:r w:rsidRPr="00A61653">
        <w:rPr>
          <w:rFonts w:ascii="Palatino Linotype" w:hAnsi="Palatino Linotype"/>
          <w:i/>
          <w:noProof/>
        </w:rPr>
        <w:t>Seni Belajar Hukum</w:t>
      </w:r>
      <w:r w:rsidRPr="00A61653">
        <w:rPr>
          <w:rFonts w:ascii="Palatino Linotype" w:hAnsi="Palatino Linotype"/>
          <w:noProof/>
        </w:rPr>
        <w:t xml:space="preserve"> (Bogor: Guepedia, 2019).</w:t>
      </w:r>
      <w:r w:rsidRPr="00A61653">
        <w:rPr>
          <w:rFonts w:ascii="Palatino Linotype" w:hAnsi="Palatino Linotype"/>
        </w:rPr>
        <w:fldChar w:fldCharType="end"/>
      </w:r>
    </w:p>
  </w:footnote>
  <w:footnote w:id="18">
    <w:p w14:paraId="26D6DBE9" w14:textId="28CD84EC" w:rsidR="00A61653" w:rsidRPr="00A61653" w:rsidRDefault="00A61653">
      <w:pPr>
        <w:pStyle w:val="FootnoteText"/>
        <w:rPr>
          <w:rFonts w:ascii="Palatino Linotype" w:hAnsi="Palatino Linotype"/>
        </w:rPr>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sidRPr="00A61653">
        <w:rPr>
          <w:rFonts w:ascii="Palatino Linotype" w:hAnsi="Palatino Linotype"/>
        </w:rPr>
        <w:instrText>ADDIN CSL_CITATION {"citationItems":[{"id":"ITEM-1","itemData":{"abstract":"Antinomy is one subject from the knowledge of law. Because of that antinomy is aldo neede in development of Jurisprudence. Antinomy is the situation be contraty another (is conflication with other) but its can be separated because it's needed. In the other hand antinomy is the conflict between two substance but both of its needed one of other. One of other substance have a role in law envorcement in nowdays is judge. The duty and the mayor function of the judge is improving law enforcemnet. In reality up to now law envorcement is still not satisfied. To carry on duty the judge have found problem it's conflict between certainty of law and justice, for sure certainty and it's benefits. Conflict or antinomy will be appeared and judge usually facing in law enforcement.","author":[{"dropping-particle":"","family":"Wantu","given":"Fence M.","non-dropping-particle":"","parse-names":false,"suffix":""}],"container-title":"Jurnal Berkala Mimbar Hukum","id":"ITEM-1","issue":"3","issued":{"date-parts":[["2007"]]},"page":"395","title":"Antinomi Dalam Penegakan Hukum Oleh Hakim","type":"article-journal","volume":"19"},"uris":["http://www.mendeley.com/documents/?uuid=29e3067f-fb59-4a19-a01a-5b0c53d6c9a2"]}],"mendeley":{"formattedCitation":"Fence M. Wantu, ‘Antinomi Dalam Penegakan Hukum Oleh Hakim’, &lt;i&gt;Jurnal Berkala Mimbar Hukum&lt;/i&gt;, 19.3 (2007), 395.","plainTextFormattedCitation":"Fence M. Wantu, ‘Antinomi Dalam Penegakan Hukum Oleh Hakim’, Jurnal Berkala Mimbar Hukum, 19.3 (2007), 395.","previouslyFormattedCitation":"Fence M. Wantu, ‘Antinomi Dalam Penegakan Hukum Oleh Hakim’, &lt;i&gt;Jurnal Berkala Mimbar Hukum&lt;/i&gt;, 19.3 (2007), 395."},"properties":{"noteIndex":18},"schema":"https://github.com/citation-style-language/schema/raw/master/csl-citation.json"}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 xml:space="preserve">Fence M. Wantu, ‘Antinomi Dalam Penegakan Hukum Oleh Hakim’, </w:t>
      </w:r>
      <w:r w:rsidRPr="00A61653">
        <w:rPr>
          <w:rFonts w:ascii="Palatino Linotype" w:hAnsi="Palatino Linotype"/>
          <w:i/>
          <w:noProof/>
        </w:rPr>
        <w:t>Jurnal Berkala Mimbar Hukum</w:t>
      </w:r>
      <w:r w:rsidRPr="00A61653">
        <w:rPr>
          <w:rFonts w:ascii="Palatino Linotype" w:hAnsi="Palatino Linotype"/>
          <w:noProof/>
        </w:rPr>
        <w:t>, 19.3 (2007), 395.</w:t>
      </w:r>
      <w:r w:rsidRPr="00A61653">
        <w:rPr>
          <w:rFonts w:ascii="Palatino Linotype" w:hAnsi="Palatino Linotype"/>
        </w:rPr>
        <w:fldChar w:fldCharType="end"/>
      </w:r>
    </w:p>
  </w:footnote>
  <w:footnote w:id="19">
    <w:p w14:paraId="76DDE28D" w14:textId="0E3DF587" w:rsidR="00A61653" w:rsidRDefault="00A61653">
      <w:pPr>
        <w:pStyle w:val="FootnoteText"/>
      </w:pPr>
      <w:r w:rsidRPr="00A61653">
        <w:rPr>
          <w:rStyle w:val="FootnoteReference"/>
          <w:rFonts w:ascii="Palatino Linotype" w:hAnsi="Palatino Linotype"/>
        </w:rPr>
        <w:footnoteRef/>
      </w:r>
      <w:r w:rsidRPr="00A61653">
        <w:rPr>
          <w:rFonts w:ascii="Palatino Linotype" w:hAnsi="Palatino Linotype"/>
        </w:rPr>
        <w:t xml:space="preserve"> </w:t>
      </w:r>
      <w:r w:rsidRPr="00A61653">
        <w:rPr>
          <w:rFonts w:ascii="Palatino Linotype" w:hAnsi="Palatino Linotype"/>
        </w:rPr>
        <w:fldChar w:fldCharType="begin" w:fldLock="1"/>
      </w:r>
      <w:r>
        <w:rPr>
          <w:rFonts w:ascii="Palatino Linotype" w:hAnsi="Palatino Linotype"/>
        </w:rPr>
        <w:instrText>ADDIN CSL_CITATION {"citationItems":[{"id":"ITEM-1","itemData":{"abstract":"68 undang-undang. hukum alam ini lahir karena kegagalan umat manusia dalam mencari keadilan Disamping itu suatu produk yang absolut. Keadilan adalah suatu perundang-undangan telah dibuat himpunan kaidah-kaidah yang tidak melalui proses yang sungguh-sungguh berubah menurut jaman dan tempat, untuk membuat peraturan yang adil, berlaku abadi dan dimana-mana saja tetapi gagal, yaitu hanya pada sama. Berlakunya keadilan tidak permulaan saja ditaati, tetapi kemudian tergantung pada kehendak manusia dan dalam perjalanan waktu tidak lagi terlepas dari penghargaan (oordeel) cocok dengan perkembangan sosial manusia tentang apa yang baik dan yang yang terjadi dalam masyarakat, juga b e n a r. H u k u m a l a m b e r u s a h a sudah lazim terjadi memberikan keadilan yang sebanyak-banyaknya bagi sebanyak-banyaknya Memahami adanya realitas m a n u s i a , g u n a m e m b a n t u m e tersebut persoalan yang muncul nyelesaikan persoalan-persoalan kemudian adalah bagaimana halnya konkrit yang dihadapinya. bila hukum positif ternyata dibuat tidak sejalan dengan prinsip-prinsip keadilan Oleh karena itu setiap hukum dan atau hukum positif yang ada, karena yang dibuat oleh manusia (hukum lamanya waktu berlakunya ternyata positip) harus berdasarkan hukum tidak sejalan dengan prinsip-prinsip alam, hukum alam memiliki derajat keadilan lagi, apakah hal ini berati yang lebih tinggi daripada hukum bahwa kita dapat sekehendak hati untuk buatan manusia. Hukum positip tidak menyimpanginya mempunyai daya ikat pada masyarakat apabila tidak didasari oleh hukum alam PENELAAHAN HISTORIKAL NILAI (tidak sah). Namun demikian pencarian terhadap keadilan yang mutlak dan atau a) Hukum Antara nilai Kepastian keadilan secara otentik berasal dari Dan Keadilan. keadilan Illahi dinilai abstrak dan terlalu idealistis sifatnya, dan oleh M e m b i c a r a k a n m a s a l a h karenanya menyulitkan di dalam kepastian dan keadilan atau hubungan menarik kesimpulan-kesimpulan antara hukum buatan manusia dengan normatifnya, dan sekaligus tidak keadilan, merupakan masalah klasik operasional. dan sudah sering diperdebatkan oleh para filosof kuno menyangkut Realitas ini dinilai telah pertentangan antara madzab hukum mendorong reaksi dan lahirlah suatu kodrat/ alam (lex naturalis) dengan ajaran baru yang pemunculannya madzab positivisme hukum (lex didasari adanya pendapat bahwa harus humama). diakui manusia memiliki keunggulan secara pribadi untuk mengatur prinsip-Menurut sejarahnya madzab prinsip hidupnya. Atas…","author":[{"dropping-particle":"","family":"Artadi","given":"Ibnu","non-dropping-particle":"","parse-names":false,"suffix":""}],"container-title":"Hukum Dan Dinamika Masyarakat","id":"ITEM-1","issue":"1","issued":{"date-parts":[["2006"]]},"page":"67-81","title":"Hukum : Antara Nilai-Nilai Kepastian, Kemanfaatan Dan Keadilan","type":"article-journal","volume":"4"},"uris":["http://www.mendeley.com/documents/?uuid=b6d74df6-07c8-4eca-820e-b5631a97e312"]}],"mendeley":{"formattedCitation":"Ibnu Artadi, ‘Hukum</w:instrText>
      </w:r>
      <w:r>
        <w:rPr>
          <w:rFonts w:ascii="Times New Roman" w:hAnsi="Times New Roman" w:cs="Times New Roman"/>
        </w:rPr>
        <w:instrText> </w:instrText>
      </w:r>
      <w:r>
        <w:rPr>
          <w:rFonts w:ascii="Palatino Linotype" w:hAnsi="Palatino Linotype"/>
        </w:rPr>
        <w:instrText>: Antara Nilai-Nilai Kepastian, Kemanfaatan Dan Keadilan’, &lt;i&gt;Hukum Dan Dinamika Masyarakat&lt;/i&gt;, 4.1 (2006), 67–81 &lt;http://jurnal.untagsmg.ac.id/index.php/hdm/article/view/362&gt;.","plainTextFormattedCitation":"Ibnu Artadi, ‘Hukum</w:instrText>
      </w:r>
      <w:r>
        <w:rPr>
          <w:rFonts w:ascii="Times New Roman" w:hAnsi="Times New Roman" w:cs="Times New Roman"/>
        </w:rPr>
        <w:instrText> </w:instrText>
      </w:r>
      <w:r>
        <w:rPr>
          <w:rFonts w:ascii="Palatino Linotype" w:hAnsi="Palatino Linotype"/>
        </w:rPr>
        <w:instrText>: Antara Nilai-Nilai Kepastian, Kemanfaatan Dan Keadilan’, Hukum Dan Dinamika Masyarakat, 4.1 (2006), 67–81 .","previouslyFormattedCitation":"Ibnu Artadi, ‘Hukum</w:instrText>
      </w:r>
      <w:r>
        <w:rPr>
          <w:rFonts w:ascii="Times New Roman" w:hAnsi="Times New Roman" w:cs="Times New Roman"/>
        </w:rPr>
        <w:instrText> </w:instrText>
      </w:r>
      <w:r>
        <w:rPr>
          <w:rFonts w:ascii="Palatino Linotype" w:hAnsi="Palatino Linotype"/>
        </w:rPr>
        <w:instrText>: Antara Nilai-Nilai Kepastian, Kemanfaatan Dan Keadilan</w:instrText>
      </w:r>
      <w:r>
        <w:rPr>
          <w:rFonts w:ascii="Palatino Linotype" w:hAnsi="Palatino Linotype" w:cs="Palatino Linotype"/>
        </w:rPr>
        <w:instrText>’</w:instrText>
      </w:r>
      <w:r>
        <w:rPr>
          <w:rFonts w:ascii="Palatino Linotype" w:hAnsi="Palatino Linotype"/>
        </w:rPr>
        <w:instrText>, &lt;i&gt;Hukum Dan Dinamika Masyarakat&lt;/i&gt;, 4.1 (2006), 67</w:instrText>
      </w:r>
      <w:r>
        <w:rPr>
          <w:rFonts w:ascii="Palatino Linotype" w:hAnsi="Palatino Linotype" w:cs="Palatino Linotype"/>
        </w:rPr>
        <w:instrText>–</w:instrText>
      </w:r>
      <w:r>
        <w:rPr>
          <w:rFonts w:ascii="Palatino Linotype" w:hAnsi="Palatino Linotype"/>
        </w:rPr>
        <w:instrText>81 &lt;http://jurnal.untagsmg.ac.id/index.php/hdm/article/view/362&gt;."},"properties":{"noteIndex":19},"schema":"https://github.com/citation-style-language/schema/raw/master/csl-citation.json"}</w:instrText>
      </w:r>
      <w:r w:rsidRPr="00A61653">
        <w:rPr>
          <w:rFonts w:ascii="Palatino Linotype" w:hAnsi="Palatino Linotype"/>
        </w:rPr>
        <w:fldChar w:fldCharType="separate"/>
      </w:r>
      <w:r w:rsidRPr="00A61653">
        <w:rPr>
          <w:rFonts w:ascii="Palatino Linotype" w:hAnsi="Palatino Linotype"/>
          <w:noProof/>
        </w:rPr>
        <w:t>Ibnu Artadi, ‘Hukum</w:t>
      </w:r>
      <w:r w:rsidRPr="00A61653">
        <w:rPr>
          <w:rFonts w:ascii="Times New Roman" w:hAnsi="Times New Roman" w:cs="Times New Roman"/>
          <w:noProof/>
        </w:rPr>
        <w:t> </w:t>
      </w:r>
      <w:r w:rsidRPr="00A61653">
        <w:rPr>
          <w:rFonts w:ascii="Palatino Linotype" w:hAnsi="Palatino Linotype"/>
          <w:noProof/>
        </w:rPr>
        <w:t>: Antara Nilai-Nilai Kepastian, Kemanfaatan Dan Keadilan</w:t>
      </w:r>
      <w:r w:rsidRPr="00A61653">
        <w:rPr>
          <w:rFonts w:ascii="Palatino Linotype" w:hAnsi="Palatino Linotype" w:cs="Palatino Linotype"/>
          <w:noProof/>
        </w:rPr>
        <w:t>’</w:t>
      </w:r>
      <w:r w:rsidRPr="00A61653">
        <w:rPr>
          <w:rFonts w:ascii="Palatino Linotype" w:hAnsi="Palatino Linotype"/>
          <w:noProof/>
        </w:rPr>
        <w:t xml:space="preserve">, </w:t>
      </w:r>
      <w:r w:rsidRPr="00A61653">
        <w:rPr>
          <w:rFonts w:ascii="Palatino Linotype" w:hAnsi="Palatino Linotype"/>
          <w:i/>
          <w:noProof/>
        </w:rPr>
        <w:t>Hukum Dan Dinamika Masyarakat</w:t>
      </w:r>
      <w:r w:rsidRPr="00A61653">
        <w:rPr>
          <w:rFonts w:ascii="Palatino Linotype" w:hAnsi="Palatino Linotype"/>
          <w:noProof/>
        </w:rPr>
        <w:t>, 4.1 (2006), 67–81 &lt;http://jurnal.untagsmg.ac.id/index.php/hdm/article/view/362&gt;.</w:t>
      </w:r>
      <w:r w:rsidRPr="00A61653">
        <w:rPr>
          <w:rFonts w:ascii="Palatino Linotype" w:hAnsi="Palatino Linotype"/>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174B"/>
    <w:multiLevelType w:val="hybridMultilevel"/>
    <w:tmpl w:val="B162A2E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nsid w:val="038F222A"/>
    <w:multiLevelType w:val="hybridMultilevel"/>
    <w:tmpl w:val="DA5EF2A8"/>
    <w:lvl w:ilvl="0" w:tplc="04090019">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4142F56"/>
    <w:multiLevelType w:val="hybridMultilevel"/>
    <w:tmpl w:val="1D5A54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6B6543"/>
    <w:multiLevelType w:val="hybridMultilevel"/>
    <w:tmpl w:val="FDB4A8DE"/>
    <w:lvl w:ilvl="0" w:tplc="97120EE0">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nsid w:val="0BB07F30"/>
    <w:multiLevelType w:val="hybridMultilevel"/>
    <w:tmpl w:val="E3E67C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B12B85"/>
    <w:multiLevelType w:val="hybridMultilevel"/>
    <w:tmpl w:val="B282BE7E"/>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nsid w:val="14470AFE"/>
    <w:multiLevelType w:val="hybridMultilevel"/>
    <w:tmpl w:val="B142DE36"/>
    <w:lvl w:ilvl="0" w:tplc="97120EE0">
      <w:start w:val="1"/>
      <w:numFmt w:val="low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7">
    <w:nsid w:val="16D1061A"/>
    <w:multiLevelType w:val="hybridMultilevel"/>
    <w:tmpl w:val="696CD8B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1A695DCF"/>
    <w:multiLevelType w:val="hybridMultilevel"/>
    <w:tmpl w:val="D1A8C59A"/>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9">
    <w:nsid w:val="1CEC3990"/>
    <w:multiLevelType w:val="hybridMultilevel"/>
    <w:tmpl w:val="C2445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3F1BF5"/>
    <w:multiLevelType w:val="hybridMultilevel"/>
    <w:tmpl w:val="5F64DC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2E84F4F"/>
    <w:multiLevelType w:val="hybridMultilevel"/>
    <w:tmpl w:val="8F9AA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540567"/>
    <w:multiLevelType w:val="hybridMultilevel"/>
    <w:tmpl w:val="C9683C46"/>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nsid w:val="27B3448F"/>
    <w:multiLevelType w:val="hybridMultilevel"/>
    <w:tmpl w:val="E82A55CE"/>
    <w:lvl w:ilvl="0" w:tplc="04090019">
      <w:start w:val="1"/>
      <w:numFmt w:val="lowerLetter"/>
      <w:lvlText w:val="%1."/>
      <w:lvlJc w:val="lef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4">
    <w:nsid w:val="2B34304B"/>
    <w:multiLevelType w:val="hybridMultilevel"/>
    <w:tmpl w:val="1D5A54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F13DA8"/>
    <w:multiLevelType w:val="hybridMultilevel"/>
    <w:tmpl w:val="2212748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2EFB17E6"/>
    <w:multiLevelType w:val="hybridMultilevel"/>
    <w:tmpl w:val="FE72E636"/>
    <w:lvl w:ilvl="0" w:tplc="97120EE0">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7">
    <w:nsid w:val="315F473C"/>
    <w:multiLevelType w:val="hybridMultilevel"/>
    <w:tmpl w:val="DEB205E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33E465BC"/>
    <w:multiLevelType w:val="hybridMultilevel"/>
    <w:tmpl w:val="46F0E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680539"/>
    <w:multiLevelType w:val="hybridMultilevel"/>
    <w:tmpl w:val="9432EF70"/>
    <w:lvl w:ilvl="0" w:tplc="C1EAA146">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0">
    <w:nsid w:val="36A4695A"/>
    <w:multiLevelType w:val="hybridMultilevel"/>
    <w:tmpl w:val="F5CAD864"/>
    <w:lvl w:ilvl="0" w:tplc="A31A9CE4">
      <w:start w:val="2"/>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5B29D2"/>
    <w:multiLevelType w:val="hybridMultilevel"/>
    <w:tmpl w:val="0B949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C12077"/>
    <w:multiLevelType w:val="hybridMultilevel"/>
    <w:tmpl w:val="5F64DC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B314EC3"/>
    <w:multiLevelType w:val="hybridMultilevel"/>
    <w:tmpl w:val="B928AC1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4">
    <w:nsid w:val="501631CF"/>
    <w:multiLevelType w:val="hybridMultilevel"/>
    <w:tmpl w:val="9BBE47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3D20EC"/>
    <w:multiLevelType w:val="hybridMultilevel"/>
    <w:tmpl w:val="8076CEB8"/>
    <w:lvl w:ilvl="0" w:tplc="04090011">
      <w:start w:val="1"/>
      <w:numFmt w:val="decimal"/>
      <w:lvlText w:val="%1)"/>
      <w:lvlJc w:val="left"/>
      <w:pPr>
        <w:ind w:left="1642" w:hanging="360"/>
      </w:p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26">
    <w:nsid w:val="5AD60CEB"/>
    <w:multiLevelType w:val="hybridMultilevel"/>
    <w:tmpl w:val="ACC0D6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1B284E"/>
    <w:multiLevelType w:val="hybridMultilevel"/>
    <w:tmpl w:val="6A6A01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D154C7"/>
    <w:multiLevelType w:val="hybridMultilevel"/>
    <w:tmpl w:val="44165B0E"/>
    <w:lvl w:ilvl="0" w:tplc="4A2256D8">
      <w:start w:val="2"/>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225A73"/>
    <w:multiLevelType w:val="hybridMultilevel"/>
    <w:tmpl w:val="562E8212"/>
    <w:lvl w:ilvl="0" w:tplc="59466A8A">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26"/>
  </w:num>
  <w:num w:numId="5">
    <w:abstractNumId w:val="17"/>
  </w:num>
  <w:num w:numId="6">
    <w:abstractNumId w:val="10"/>
  </w:num>
  <w:num w:numId="7">
    <w:abstractNumId w:val="22"/>
  </w:num>
  <w:num w:numId="8">
    <w:abstractNumId w:val="14"/>
  </w:num>
  <w:num w:numId="9">
    <w:abstractNumId w:val="8"/>
  </w:num>
  <w:num w:numId="10">
    <w:abstractNumId w:val="20"/>
  </w:num>
  <w:num w:numId="11">
    <w:abstractNumId w:val="25"/>
  </w:num>
  <w:num w:numId="12">
    <w:abstractNumId w:val="4"/>
  </w:num>
  <w:num w:numId="13">
    <w:abstractNumId w:val="12"/>
  </w:num>
  <w:num w:numId="14">
    <w:abstractNumId w:val="24"/>
  </w:num>
  <w:num w:numId="15">
    <w:abstractNumId w:val="9"/>
  </w:num>
  <w:num w:numId="16">
    <w:abstractNumId w:val="6"/>
  </w:num>
  <w:num w:numId="17">
    <w:abstractNumId w:val="7"/>
  </w:num>
  <w:num w:numId="18">
    <w:abstractNumId w:val="29"/>
  </w:num>
  <w:num w:numId="19">
    <w:abstractNumId w:val="27"/>
  </w:num>
  <w:num w:numId="20">
    <w:abstractNumId w:val="21"/>
  </w:num>
  <w:num w:numId="21">
    <w:abstractNumId w:val="15"/>
  </w:num>
  <w:num w:numId="22">
    <w:abstractNumId w:val="18"/>
  </w:num>
  <w:num w:numId="23">
    <w:abstractNumId w:val="11"/>
  </w:num>
  <w:num w:numId="24">
    <w:abstractNumId w:val="28"/>
  </w:num>
  <w:num w:numId="25">
    <w:abstractNumId w:val="23"/>
  </w:num>
  <w:num w:numId="26">
    <w:abstractNumId w:val="0"/>
  </w:num>
  <w:num w:numId="27">
    <w:abstractNumId w:val="13"/>
  </w:num>
  <w:num w:numId="28">
    <w:abstractNumId w:val="16"/>
  </w:num>
  <w:num w:numId="29">
    <w:abstractNumId w:val="3"/>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B01"/>
    <w:rsid w:val="0000054E"/>
    <w:rsid w:val="00006006"/>
    <w:rsid w:val="00035F80"/>
    <w:rsid w:val="00090F3B"/>
    <w:rsid w:val="00092F96"/>
    <w:rsid w:val="00093509"/>
    <w:rsid w:val="000C6834"/>
    <w:rsid w:val="000D1BA7"/>
    <w:rsid w:val="000F6570"/>
    <w:rsid w:val="001077D6"/>
    <w:rsid w:val="00110883"/>
    <w:rsid w:val="00117937"/>
    <w:rsid w:val="00141367"/>
    <w:rsid w:val="00143641"/>
    <w:rsid w:val="00167579"/>
    <w:rsid w:val="00196B49"/>
    <w:rsid w:val="001E5018"/>
    <w:rsid w:val="00201FA7"/>
    <w:rsid w:val="002249FA"/>
    <w:rsid w:val="00246B01"/>
    <w:rsid w:val="0028096B"/>
    <w:rsid w:val="00297F44"/>
    <w:rsid w:val="002B05BD"/>
    <w:rsid w:val="002B2C42"/>
    <w:rsid w:val="002C0258"/>
    <w:rsid w:val="002C1CD1"/>
    <w:rsid w:val="002C2B0A"/>
    <w:rsid w:val="00306967"/>
    <w:rsid w:val="003428D0"/>
    <w:rsid w:val="00343C78"/>
    <w:rsid w:val="0035384A"/>
    <w:rsid w:val="00375AAE"/>
    <w:rsid w:val="00393D50"/>
    <w:rsid w:val="003A1996"/>
    <w:rsid w:val="003A5FB6"/>
    <w:rsid w:val="003B0330"/>
    <w:rsid w:val="003B7050"/>
    <w:rsid w:val="003D2F61"/>
    <w:rsid w:val="00400241"/>
    <w:rsid w:val="00401366"/>
    <w:rsid w:val="0041253A"/>
    <w:rsid w:val="00416B55"/>
    <w:rsid w:val="00444214"/>
    <w:rsid w:val="00461AE3"/>
    <w:rsid w:val="004B1C1F"/>
    <w:rsid w:val="004C2437"/>
    <w:rsid w:val="0050185E"/>
    <w:rsid w:val="00523283"/>
    <w:rsid w:val="005271FF"/>
    <w:rsid w:val="00532E27"/>
    <w:rsid w:val="00536158"/>
    <w:rsid w:val="00546D83"/>
    <w:rsid w:val="00551D70"/>
    <w:rsid w:val="00561857"/>
    <w:rsid w:val="00562978"/>
    <w:rsid w:val="005B6A9B"/>
    <w:rsid w:val="005C0B8F"/>
    <w:rsid w:val="005C1377"/>
    <w:rsid w:val="006015F2"/>
    <w:rsid w:val="00623C4F"/>
    <w:rsid w:val="00625BC8"/>
    <w:rsid w:val="00634217"/>
    <w:rsid w:val="006377CF"/>
    <w:rsid w:val="006400AA"/>
    <w:rsid w:val="00661A4B"/>
    <w:rsid w:val="00670DE5"/>
    <w:rsid w:val="006756FC"/>
    <w:rsid w:val="0068223A"/>
    <w:rsid w:val="00683865"/>
    <w:rsid w:val="006A6A0F"/>
    <w:rsid w:val="006B73A6"/>
    <w:rsid w:val="006D15DB"/>
    <w:rsid w:val="006D75BA"/>
    <w:rsid w:val="00715488"/>
    <w:rsid w:val="007219D1"/>
    <w:rsid w:val="00747A22"/>
    <w:rsid w:val="007671BF"/>
    <w:rsid w:val="00775993"/>
    <w:rsid w:val="00792993"/>
    <w:rsid w:val="007A1588"/>
    <w:rsid w:val="007A766E"/>
    <w:rsid w:val="007B2CE2"/>
    <w:rsid w:val="007C2FF0"/>
    <w:rsid w:val="007D4141"/>
    <w:rsid w:val="007E2A8F"/>
    <w:rsid w:val="007F449B"/>
    <w:rsid w:val="00816FF6"/>
    <w:rsid w:val="00843973"/>
    <w:rsid w:val="00862C6A"/>
    <w:rsid w:val="008679D6"/>
    <w:rsid w:val="00887D0D"/>
    <w:rsid w:val="008921E5"/>
    <w:rsid w:val="008930E5"/>
    <w:rsid w:val="008945ED"/>
    <w:rsid w:val="008974D3"/>
    <w:rsid w:val="008A1BD0"/>
    <w:rsid w:val="008A76C6"/>
    <w:rsid w:val="008B7EB5"/>
    <w:rsid w:val="008E1D6E"/>
    <w:rsid w:val="00911B43"/>
    <w:rsid w:val="00912581"/>
    <w:rsid w:val="0091324F"/>
    <w:rsid w:val="00926438"/>
    <w:rsid w:val="0095195A"/>
    <w:rsid w:val="00952697"/>
    <w:rsid w:val="0097196F"/>
    <w:rsid w:val="009926B4"/>
    <w:rsid w:val="009A4B43"/>
    <w:rsid w:val="009B5708"/>
    <w:rsid w:val="009C3B3A"/>
    <w:rsid w:val="009D1B38"/>
    <w:rsid w:val="009E466B"/>
    <w:rsid w:val="009E4E0E"/>
    <w:rsid w:val="009E6CF1"/>
    <w:rsid w:val="00A1537D"/>
    <w:rsid w:val="00A26862"/>
    <w:rsid w:val="00A44521"/>
    <w:rsid w:val="00A55E16"/>
    <w:rsid w:val="00A61653"/>
    <w:rsid w:val="00A90346"/>
    <w:rsid w:val="00A91633"/>
    <w:rsid w:val="00A9164B"/>
    <w:rsid w:val="00AA6F0A"/>
    <w:rsid w:val="00AB4C64"/>
    <w:rsid w:val="00AD0239"/>
    <w:rsid w:val="00AE124A"/>
    <w:rsid w:val="00AE4515"/>
    <w:rsid w:val="00AF0C1B"/>
    <w:rsid w:val="00AF25C6"/>
    <w:rsid w:val="00AF540F"/>
    <w:rsid w:val="00B06C53"/>
    <w:rsid w:val="00B0744E"/>
    <w:rsid w:val="00B714DC"/>
    <w:rsid w:val="00B92F3D"/>
    <w:rsid w:val="00BF659F"/>
    <w:rsid w:val="00C13AE0"/>
    <w:rsid w:val="00C179C6"/>
    <w:rsid w:val="00C37ACB"/>
    <w:rsid w:val="00C550C6"/>
    <w:rsid w:val="00C626B3"/>
    <w:rsid w:val="00C66A10"/>
    <w:rsid w:val="00CA1D3C"/>
    <w:rsid w:val="00CB4224"/>
    <w:rsid w:val="00CD0BF2"/>
    <w:rsid w:val="00CD1995"/>
    <w:rsid w:val="00CF426D"/>
    <w:rsid w:val="00CF53EE"/>
    <w:rsid w:val="00D333D5"/>
    <w:rsid w:val="00D40EBB"/>
    <w:rsid w:val="00D81165"/>
    <w:rsid w:val="00D85ABA"/>
    <w:rsid w:val="00DB167C"/>
    <w:rsid w:val="00DB232E"/>
    <w:rsid w:val="00DB5713"/>
    <w:rsid w:val="00DD5C5F"/>
    <w:rsid w:val="00E11500"/>
    <w:rsid w:val="00E2014D"/>
    <w:rsid w:val="00E274E7"/>
    <w:rsid w:val="00E300C2"/>
    <w:rsid w:val="00E37C6D"/>
    <w:rsid w:val="00E87A38"/>
    <w:rsid w:val="00E94001"/>
    <w:rsid w:val="00EA586E"/>
    <w:rsid w:val="00EB0677"/>
    <w:rsid w:val="00ED4A88"/>
    <w:rsid w:val="00EE34EF"/>
    <w:rsid w:val="00EF50DC"/>
    <w:rsid w:val="00F13BE0"/>
    <w:rsid w:val="00F16888"/>
    <w:rsid w:val="00F3531C"/>
    <w:rsid w:val="00F474CE"/>
    <w:rsid w:val="00F51B72"/>
    <w:rsid w:val="00F72CF4"/>
    <w:rsid w:val="00F759F2"/>
    <w:rsid w:val="00F9574B"/>
    <w:rsid w:val="00FA1F99"/>
    <w:rsid w:val="00FA68A6"/>
    <w:rsid w:val="00FB0926"/>
    <w:rsid w:val="00FB6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D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6B01"/>
    <w:pPr>
      <w:widowControl w:val="0"/>
      <w:autoSpaceDE w:val="0"/>
      <w:autoSpaceDN w:val="0"/>
      <w:spacing w:before="217" w:after="0" w:line="240" w:lineRule="auto"/>
      <w:ind w:left="1824" w:right="1480"/>
      <w:jc w:val="center"/>
      <w:outlineLvl w:val="0"/>
    </w:pPr>
    <w:rPr>
      <w:rFonts w:ascii="Times New Roman" w:eastAsia="Times New Roman" w:hAnsi="Times New Roman" w:cs="Times New Roman"/>
      <w:b/>
      <w:bCs/>
      <w:sz w:val="28"/>
      <w:szCs w:val="28"/>
      <w:lang w:val="id"/>
    </w:rPr>
  </w:style>
  <w:style w:type="paragraph" w:styleId="Heading2">
    <w:name w:val="heading 2"/>
    <w:basedOn w:val="Normal"/>
    <w:next w:val="Normal"/>
    <w:link w:val="Heading2Char"/>
    <w:uiPriority w:val="9"/>
    <w:semiHidden/>
    <w:unhideWhenUsed/>
    <w:qFormat/>
    <w:rsid w:val="00D85AB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B01"/>
    <w:rPr>
      <w:rFonts w:ascii="Times New Roman" w:eastAsia="Times New Roman" w:hAnsi="Times New Roman" w:cs="Times New Roman"/>
      <w:b/>
      <w:bCs/>
      <w:sz w:val="28"/>
      <w:szCs w:val="28"/>
      <w:lang w:val="id"/>
    </w:rPr>
  </w:style>
  <w:style w:type="paragraph" w:styleId="ListParagraph">
    <w:name w:val="List Paragraph"/>
    <w:aliases w:val="Body Text Char1,Char Char2"/>
    <w:basedOn w:val="Normal"/>
    <w:link w:val="ListParagraphChar"/>
    <w:uiPriority w:val="34"/>
    <w:qFormat/>
    <w:rsid w:val="00AF540F"/>
    <w:pPr>
      <w:widowControl w:val="0"/>
      <w:autoSpaceDE w:val="0"/>
      <w:autoSpaceDN w:val="0"/>
      <w:spacing w:after="0" w:line="240" w:lineRule="auto"/>
      <w:ind w:left="1163" w:hanging="361"/>
    </w:pPr>
    <w:rPr>
      <w:rFonts w:ascii="Times New Roman" w:eastAsia="Times New Roman" w:hAnsi="Times New Roman" w:cs="Times New Roman"/>
      <w:lang w:val="id"/>
    </w:rPr>
  </w:style>
  <w:style w:type="character" w:customStyle="1" w:styleId="ListParagraphChar">
    <w:name w:val="List Paragraph Char"/>
    <w:aliases w:val="Body Text Char1 Char,Char Char2 Char"/>
    <w:basedOn w:val="DefaultParagraphFont"/>
    <w:link w:val="ListParagraph"/>
    <w:uiPriority w:val="34"/>
    <w:rsid w:val="00AF540F"/>
    <w:rPr>
      <w:rFonts w:ascii="Times New Roman" w:eastAsia="Times New Roman" w:hAnsi="Times New Roman" w:cs="Times New Roman"/>
      <w:lang w:val="id"/>
    </w:rPr>
  </w:style>
  <w:style w:type="paragraph" w:styleId="HTMLPreformatted">
    <w:name w:val="HTML Preformatted"/>
    <w:basedOn w:val="Normal"/>
    <w:link w:val="HTMLPreformattedChar"/>
    <w:uiPriority w:val="99"/>
    <w:semiHidden/>
    <w:unhideWhenUsed/>
    <w:rsid w:val="0011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0883"/>
    <w:rPr>
      <w:rFonts w:ascii="Courier New" w:eastAsia="Times New Roman" w:hAnsi="Courier New" w:cs="Courier New"/>
      <w:sz w:val="20"/>
      <w:szCs w:val="20"/>
    </w:rPr>
  </w:style>
  <w:style w:type="character" w:customStyle="1" w:styleId="y2iqfc">
    <w:name w:val="y2iqfc"/>
    <w:basedOn w:val="DefaultParagraphFont"/>
    <w:rsid w:val="00110883"/>
  </w:style>
  <w:style w:type="paragraph" w:styleId="NormalWeb">
    <w:name w:val="Normal (Web)"/>
    <w:basedOn w:val="Normal"/>
    <w:unhideWhenUsed/>
    <w:rsid w:val="004C24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85ABA"/>
    <w:rPr>
      <w:rFonts w:asciiTheme="majorHAnsi" w:eastAsiaTheme="majorEastAsia" w:hAnsiTheme="majorHAnsi" w:cstheme="majorBidi"/>
      <w:b/>
      <w:bCs/>
      <w:color w:val="4F81BD" w:themeColor="accent1"/>
      <w:sz w:val="26"/>
      <w:szCs w:val="26"/>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 Char Char Char Char Char Char Cha"/>
    <w:basedOn w:val="Normal"/>
    <w:link w:val="FootnoteTextChar"/>
    <w:uiPriority w:val="99"/>
    <w:unhideWhenUsed/>
    <w:rsid w:val="00D85ABA"/>
    <w:pPr>
      <w:spacing w:after="0" w:line="240" w:lineRule="auto"/>
    </w:pPr>
    <w:rPr>
      <w:sz w:val="20"/>
      <w:szCs w:val="20"/>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
    <w:basedOn w:val="DefaultParagraphFont"/>
    <w:link w:val="FootnoteText"/>
    <w:uiPriority w:val="99"/>
    <w:rsid w:val="00D85ABA"/>
    <w:rPr>
      <w:sz w:val="20"/>
      <w:szCs w:val="20"/>
    </w:rPr>
  </w:style>
  <w:style w:type="character" w:styleId="FootnoteReference">
    <w:name w:val="footnote reference"/>
    <w:basedOn w:val="DefaultParagraphFont"/>
    <w:uiPriority w:val="99"/>
    <w:unhideWhenUsed/>
    <w:rsid w:val="00D85ABA"/>
    <w:rPr>
      <w:vertAlign w:val="superscript"/>
    </w:rPr>
  </w:style>
  <w:style w:type="character" w:styleId="Hyperlink">
    <w:name w:val="Hyperlink"/>
    <w:basedOn w:val="DefaultParagraphFont"/>
    <w:uiPriority w:val="99"/>
    <w:unhideWhenUsed/>
    <w:rsid w:val="0095195A"/>
    <w:rPr>
      <w:color w:val="0000FF" w:themeColor="hyperlink"/>
      <w:u w:val="single"/>
    </w:rPr>
  </w:style>
  <w:style w:type="character" w:customStyle="1" w:styleId="UnresolvedMention">
    <w:name w:val="Unresolved Mention"/>
    <w:basedOn w:val="DefaultParagraphFont"/>
    <w:uiPriority w:val="99"/>
    <w:semiHidden/>
    <w:unhideWhenUsed/>
    <w:rsid w:val="00CA1D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6B01"/>
    <w:pPr>
      <w:widowControl w:val="0"/>
      <w:autoSpaceDE w:val="0"/>
      <w:autoSpaceDN w:val="0"/>
      <w:spacing w:before="217" w:after="0" w:line="240" w:lineRule="auto"/>
      <w:ind w:left="1824" w:right="1480"/>
      <w:jc w:val="center"/>
      <w:outlineLvl w:val="0"/>
    </w:pPr>
    <w:rPr>
      <w:rFonts w:ascii="Times New Roman" w:eastAsia="Times New Roman" w:hAnsi="Times New Roman" w:cs="Times New Roman"/>
      <w:b/>
      <w:bCs/>
      <w:sz w:val="28"/>
      <w:szCs w:val="28"/>
      <w:lang w:val="id"/>
    </w:rPr>
  </w:style>
  <w:style w:type="paragraph" w:styleId="Heading2">
    <w:name w:val="heading 2"/>
    <w:basedOn w:val="Normal"/>
    <w:next w:val="Normal"/>
    <w:link w:val="Heading2Char"/>
    <w:uiPriority w:val="9"/>
    <w:semiHidden/>
    <w:unhideWhenUsed/>
    <w:qFormat/>
    <w:rsid w:val="00D85AB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B01"/>
    <w:rPr>
      <w:rFonts w:ascii="Times New Roman" w:eastAsia="Times New Roman" w:hAnsi="Times New Roman" w:cs="Times New Roman"/>
      <w:b/>
      <w:bCs/>
      <w:sz w:val="28"/>
      <w:szCs w:val="28"/>
      <w:lang w:val="id"/>
    </w:rPr>
  </w:style>
  <w:style w:type="paragraph" w:styleId="ListParagraph">
    <w:name w:val="List Paragraph"/>
    <w:aliases w:val="Body Text Char1,Char Char2"/>
    <w:basedOn w:val="Normal"/>
    <w:link w:val="ListParagraphChar"/>
    <w:uiPriority w:val="34"/>
    <w:qFormat/>
    <w:rsid w:val="00AF540F"/>
    <w:pPr>
      <w:widowControl w:val="0"/>
      <w:autoSpaceDE w:val="0"/>
      <w:autoSpaceDN w:val="0"/>
      <w:spacing w:after="0" w:line="240" w:lineRule="auto"/>
      <w:ind w:left="1163" w:hanging="361"/>
    </w:pPr>
    <w:rPr>
      <w:rFonts w:ascii="Times New Roman" w:eastAsia="Times New Roman" w:hAnsi="Times New Roman" w:cs="Times New Roman"/>
      <w:lang w:val="id"/>
    </w:rPr>
  </w:style>
  <w:style w:type="character" w:customStyle="1" w:styleId="ListParagraphChar">
    <w:name w:val="List Paragraph Char"/>
    <w:aliases w:val="Body Text Char1 Char,Char Char2 Char"/>
    <w:basedOn w:val="DefaultParagraphFont"/>
    <w:link w:val="ListParagraph"/>
    <w:uiPriority w:val="34"/>
    <w:rsid w:val="00AF540F"/>
    <w:rPr>
      <w:rFonts w:ascii="Times New Roman" w:eastAsia="Times New Roman" w:hAnsi="Times New Roman" w:cs="Times New Roman"/>
      <w:lang w:val="id"/>
    </w:rPr>
  </w:style>
  <w:style w:type="paragraph" w:styleId="HTMLPreformatted">
    <w:name w:val="HTML Preformatted"/>
    <w:basedOn w:val="Normal"/>
    <w:link w:val="HTMLPreformattedChar"/>
    <w:uiPriority w:val="99"/>
    <w:semiHidden/>
    <w:unhideWhenUsed/>
    <w:rsid w:val="00110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0883"/>
    <w:rPr>
      <w:rFonts w:ascii="Courier New" w:eastAsia="Times New Roman" w:hAnsi="Courier New" w:cs="Courier New"/>
      <w:sz w:val="20"/>
      <w:szCs w:val="20"/>
    </w:rPr>
  </w:style>
  <w:style w:type="character" w:customStyle="1" w:styleId="y2iqfc">
    <w:name w:val="y2iqfc"/>
    <w:basedOn w:val="DefaultParagraphFont"/>
    <w:rsid w:val="00110883"/>
  </w:style>
  <w:style w:type="paragraph" w:styleId="NormalWeb">
    <w:name w:val="Normal (Web)"/>
    <w:basedOn w:val="Normal"/>
    <w:unhideWhenUsed/>
    <w:rsid w:val="004C24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85ABA"/>
    <w:rPr>
      <w:rFonts w:asciiTheme="majorHAnsi" w:eastAsiaTheme="majorEastAsia" w:hAnsiTheme="majorHAnsi" w:cstheme="majorBidi"/>
      <w:b/>
      <w:bCs/>
      <w:color w:val="4F81BD" w:themeColor="accent1"/>
      <w:sz w:val="26"/>
      <w:szCs w:val="26"/>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Char Char Char Char Char Char Char Cha"/>
    <w:basedOn w:val="Normal"/>
    <w:link w:val="FootnoteTextChar"/>
    <w:uiPriority w:val="99"/>
    <w:unhideWhenUsed/>
    <w:rsid w:val="00D85ABA"/>
    <w:pPr>
      <w:spacing w:after="0" w:line="240" w:lineRule="auto"/>
    </w:pPr>
    <w:rPr>
      <w:sz w:val="20"/>
      <w:szCs w:val="20"/>
    </w:rPr>
  </w:style>
  <w:style w:type="character" w:customStyle="1" w:styleId="FootnoteTextChar">
    <w:name w:val="Footnote Text Char"/>
    <w:aliases w:val="Footnote Text Char Char Char,Footnote Text Char Char Char Char Char Char,Footnote Text Char Char Char Char Char Char Char Char Char,Footnote Text Char Char Char Char Char Char Char Char Char Char Char Char Char Char Char"/>
    <w:basedOn w:val="DefaultParagraphFont"/>
    <w:link w:val="FootnoteText"/>
    <w:uiPriority w:val="99"/>
    <w:rsid w:val="00D85ABA"/>
    <w:rPr>
      <w:sz w:val="20"/>
      <w:szCs w:val="20"/>
    </w:rPr>
  </w:style>
  <w:style w:type="character" w:styleId="FootnoteReference">
    <w:name w:val="footnote reference"/>
    <w:basedOn w:val="DefaultParagraphFont"/>
    <w:uiPriority w:val="99"/>
    <w:unhideWhenUsed/>
    <w:rsid w:val="00D85ABA"/>
    <w:rPr>
      <w:vertAlign w:val="superscript"/>
    </w:rPr>
  </w:style>
  <w:style w:type="character" w:styleId="Hyperlink">
    <w:name w:val="Hyperlink"/>
    <w:basedOn w:val="DefaultParagraphFont"/>
    <w:uiPriority w:val="99"/>
    <w:unhideWhenUsed/>
    <w:rsid w:val="0095195A"/>
    <w:rPr>
      <w:color w:val="0000FF" w:themeColor="hyperlink"/>
      <w:u w:val="single"/>
    </w:rPr>
  </w:style>
  <w:style w:type="character" w:customStyle="1" w:styleId="UnresolvedMention">
    <w:name w:val="Unresolved Mention"/>
    <w:basedOn w:val="DefaultParagraphFont"/>
    <w:uiPriority w:val="99"/>
    <w:semiHidden/>
    <w:unhideWhenUsed/>
    <w:rsid w:val="00CA1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35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432C0-8D4C-47A3-9056-56724582E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10</Pages>
  <Words>4402</Words>
  <Characters>25098</Characters>
  <Application>Microsoft Office Word</Application>
  <DocSecurity>0</DocSecurity>
  <Lines>209</Lines>
  <Paragraphs>58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Degradation of Executorial Rights and Execution Parate Institutions on Fiduciary</vt:lpstr>
    </vt:vector>
  </TitlesOfParts>
  <Company/>
  <LinksUpToDate>false</LinksUpToDate>
  <CharactersWithSpaces>29442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dc:description>Translated with Yandex.Translate</dc:description>
  <cp:lastModifiedBy>user</cp:lastModifiedBy>
  <cp:revision>13</cp:revision>
  <cp:lastPrinted>2022-08-05T07:23:00Z</cp:lastPrinted>
  <dcterms:created xsi:type="dcterms:W3CDTF">2022-08-13T07:21:00Z</dcterms:created>
  <dcterms:modified xsi:type="dcterms:W3CDTF">2022-09-29T07:06:00Z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http://www.zotero.org/styles/modern-humanities-research-association</vt:lpwstr>
  </property>
  <property fmtid="{D5CDD505-2E9C-101B-9397-08002B2CF9AE}" pid="4" name="Mendeley Unique User Id_1">
    <vt:lpwstr>2ac54019-aa54-3fef-93cc-0bce7faae56d</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http://csl.mendeley.com/styles/673419091/apa-2</vt:lpwstr>
  </property>
  <property fmtid="{D5CDD505-2E9C-101B-9397-08002B2CF9AE}" pid="8" name="Mendeley Recent Style Name 1_1">
    <vt:lpwstr>American Psychological Association 7th edition - Indah Dwi</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