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294F1" w14:textId="77777777" w:rsidR="002C1BA2" w:rsidRPr="002C1BA2" w:rsidRDefault="002C1BA2" w:rsidP="002C1BA2">
      <w:pPr>
        <w:ind w:right="-567"/>
        <w:jc w:val="center"/>
        <w:rPr>
          <w:rFonts w:ascii="Book Antiqua" w:hAnsi="Book Antiqua"/>
          <w:b/>
          <w:bCs/>
          <w:color w:val="000000" w:themeColor="text1"/>
          <w:sz w:val="24"/>
          <w:szCs w:val="24"/>
          <w:lang w:val="en-GB"/>
        </w:rPr>
      </w:pPr>
      <w:r w:rsidRPr="002C1BA2">
        <w:rPr>
          <w:rFonts w:ascii="Book Antiqua" w:hAnsi="Book Antiqua"/>
          <w:b/>
          <w:bCs/>
          <w:color w:val="000000" w:themeColor="text1"/>
          <w:sz w:val="24"/>
          <w:szCs w:val="24"/>
          <w:lang w:val="en-GB"/>
        </w:rPr>
        <w:t>THE PROTECTION OF THE RIGHTS OF MUSYARAKAH GUARANTEE OWNER THROUGH JUDGE'S DECISION</w:t>
      </w:r>
    </w:p>
    <w:p w14:paraId="04EFACBD" w14:textId="77777777" w:rsidR="002C1BA2" w:rsidRDefault="002C1BA2" w:rsidP="002C1BA2">
      <w:pPr>
        <w:rPr>
          <w:rFonts w:ascii="Book Antiqua" w:hAnsi="Book Antiqua"/>
          <w:b/>
          <w:bCs/>
          <w:sz w:val="24"/>
          <w:szCs w:val="24"/>
          <w:lang w:val="id-ID"/>
        </w:rPr>
      </w:pPr>
    </w:p>
    <w:p w14:paraId="0383049C" w14:textId="77777777" w:rsidR="002C1BA2" w:rsidRPr="002C1BA2" w:rsidRDefault="002C1BA2" w:rsidP="002C1BA2">
      <w:pPr>
        <w:jc w:val="center"/>
        <w:rPr>
          <w:rFonts w:ascii="Book Antiqua" w:hAnsi="Book Antiqua"/>
          <w:color w:val="000000" w:themeColor="text1"/>
          <w:sz w:val="24"/>
          <w:szCs w:val="24"/>
        </w:rPr>
      </w:pPr>
      <w:r w:rsidRPr="002C1BA2">
        <w:rPr>
          <w:rFonts w:ascii="Book Antiqua" w:hAnsi="Book Antiqua"/>
          <w:color w:val="000000" w:themeColor="text1"/>
          <w:sz w:val="24"/>
          <w:szCs w:val="24"/>
        </w:rPr>
        <w:t>Abdul Halim Muhamad Sholeh</w:t>
      </w:r>
      <w:r w:rsidRPr="002C1BA2">
        <w:rPr>
          <w:rFonts w:ascii="Book Antiqua" w:hAnsi="Book Antiqua"/>
          <w:color w:val="000000" w:themeColor="text1"/>
          <w:sz w:val="24"/>
          <w:szCs w:val="24"/>
          <w:vertAlign w:val="superscript"/>
        </w:rPr>
        <w:t>1</w:t>
      </w:r>
      <w:r w:rsidRPr="002C1BA2">
        <w:rPr>
          <w:rFonts w:ascii="Book Antiqua" w:hAnsi="Book Antiqua"/>
          <w:color w:val="000000" w:themeColor="text1"/>
          <w:sz w:val="24"/>
          <w:szCs w:val="24"/>
        </w:rPr>
        <w:t xml:space="preserve"> </w:t>
      </w:r>
    </w:p>
    <w:p w14:paraId="5EA462E5" w14:textId="77777777" w:rsidR="0096558F" w:rsidRPr="002C1BA2" w:rsidRDefault="0096558F" w:rsidP="00DB3F2B">
      <w:pPr>
        <w:jc w:val="center"/>
        <w:rPr>
          <w:rFonts w:ascii="Book Antiqua" w:hAnsi="Book Antiqua"/>
          <w:b/>
          <w:bCs/>
          <w:sz w:val="24"/>
          <w:szCs w:val="24"/>
          <w:lang w:val="es-CO"/>
        </w:rPr>
      </w:pPr>
    </w:p>
    <w:p w14:paraId="76416F82" w14:textId="77777777" w:rsidR="002C1BA2" w:rsidRPr="002C1BA2" w:rsidRDefault="002C1BA2" w:rsidP="002C1BA2">
      <w:pPr>
        <w:jc w:val="center"/>
        <w:rPr>
          <w:rFonts w:ascii="Book Antiqua" w:hAnsi="Book Antiqua"/>
          <w:bCs/>
          <w:color w:val="000000" w:themeColor="text1"/>
          <w:sz w:val="24"/>
          <w:szCs w:val="24"/>
        </w:rPr>
      </w:pPr>
      <w:r w:rsidRPr="002C1BA2">
        <w:rPr>
          <w:rFonts w:ascii="Book Antiqua" w:hAnsi="Book Antiqua"/>
          <w:bCs/>
          <w:color w:val="000000" w:themeColor="text1"/>
          <w:sz w:val="24"/>
          <w:szCs w:val="24"/>
          <w:vertAlign w:val="superscript"/>
        </w:rPr>
        <w:t>1</w:t>
      </w:r>
      <w:r w:rsidRPr="002C1BA2">
        <w:rPr>
          <w:rFonts w:ascii="Book Antiqua" w:hAnsi="Book Antiqua"/>
          <w:bCs/>
          <w:color w:val="000000" w:themeColor="text1"/>
          <w:sz w:val="24"/>
          <w:szCs w:val="24"/>
        </w:rPr>
        <w:t xml:space="preserve">Doctoral Program, Faculty of Sharia and Law, State Islamic University of </w:t>
      </w:r>
      <w:proofErr w:type="spellStart"/>
      <w:r w:rsidRPr="002C1BA2">
        <w:rPr>
          <w:rFonts w:ascii="Book Antiqua" w:hAnsi="Book Antiqua"/>
          <w:bCs/>
          <w:color w:val="000000" w:themeColor="text1"/>
          <w:sz w:val="24"/>
          <w:szCs w:val="24"/>
        </w:rPr>
        <w:t>Sunan</w:t>
      </w:r>
      <w:proofErr w:type="spellEnd"/>
      <w:r w:rsidRPr="002C1BA2">
        <w:rPr>
          <w:rFonts w:ascii="Book Antiqua" w:hAnsi="Book Antiqua"/>
          <w:bCs/>
          <w:color w:val="000000" w:themeColor="text1"/>
          <w:sz w:val="24"/>
          <w:szCs w:val="24"/>
        </w:rPr>
        <w:t xml:space="preserve"> </w:t>
      </w:r>
      <w:proofErr w:type="spellStart"/>
      <w:r w:rsidRPr="002C1BA2">
        <w:rPr>
          <w:rFonts w:ascii="Book Antiqua" w:hAnsi="Book Antiqua"/>
          <w:bCs/>
          <w:color w:val="000000" w:themeColor="text1"/>
          <w:sz w:val="24"/>
          <w:szCs w:val="24"/>
        </w:rPr>
        <w:t>Kalijaga</w:t>
      </w:r>
      <w:proofErr w:type="spellEnd"/>
    </w:p>
    <w:p w14:paraId="475FCD3B" w14:textId="77777777" w:rsidR="002C1BA2" w:rsidRPr="002C1BA2" w:rsidRDefault="002C1BA2" w:rsidP="002C1BA2">
      <w:pPr>
        <w:jc w:val="center"/>
        <w:rPr>
          <w:rFonts w:ascii="Book Antiqua" w:hAnsi="Book Antiqua"/>
          <w:bCs/>
          <w:color w:val="000000" w:themeColor="text1"/>
          <w:sz w:val="24"/>
          <w:szCs w:val="24"/>
        </w:rPr>
      </w:pPr>
    </w:p>
    <w:p w14:paraId="4681A41E" w14:textId="5D10FEF2" w:rsidR="00EE5A23" w:rsidRPr="002C1BA2" w:rsidRDefault="006D1334" w:rsidP="006D1334">
      <w:pPr>
        <w:jc w:val="center"/>
        <w:rPr>
          <w:rFonts w:ascii="Book Antiqua" w:hAnsi="Book Antiqua"/>
          <w:bCs/>
          <w:sz w:val="24"/>
          <w:szCs w:val="24"/>
          <w:lang w:val="id-ID"/>
        </w:rPr>
      </w:pPr>
      <w:r w:rsidRPr="002C1BA2">
        <w:rPr>
          <w:rFonts w:ascii="Book Antiqua" w:hAnsi="Book Antiqua"/>
          <w:bCs/>
          <w:sz w:val="24"/>
          <w:szCs w:val="24"/>
          <w:lang w:val="id-ID"/>
        </w:rPr>
        <w:t>.</w:t>
      </w:r>
    </w:p>
    <w:p w14:paraId="7681FF64" w14:textId="77777777" w:rsidR="00DB3F2B" w:rsidRPr="00B56D4F" w:rsidRDefault="00DB3F2B" w:rsidP="00DB3F2B">
      <w:pPr>
        <w:jc w:val="center"/>
        <w:rPr>
          <w:rFonts w:ascii="Book Antiqua" w:hAnsi="Book Antiqua"/>
          <w:b/>
          <w:bCs/>
          <w:sz w:val="24"/>
          <w:szCs w:val="24"/>
          <w:lang w:val="id-ID"/>
        </w:rPr>
      </w:pPr>
    </w:p>
    <w:tbl>
      <w:tblPr>
        <w:tblW w:w="8613" w:type="dxa"/>
        <w:tblLayout w:type="fixed"/>
        <w:tblLook w:val="04A0" w:firstRow="1" w:lastRow="0" w:firstColumn="1" w:lastColumn="0" w:noHBand="0" w:noVBand="1"/>
      </w:tblPr>
      <w:tblGrid>
        <w:gridCol w:w="2790"/>
        <w:gridCol w:w="338"/>
        <w:gridCol w:w="5485"/>
      </w:tblGrid>
      <w:tr w:rsidR="00B56D4F" w:rsidRPr="00B56D4F" w14:paraId="358164A4" w14:textId="77777777" w:rsidTr="004F44EE">
        <w:tc>
          <w:tcPr>
            <w:tcW w:w="2790" w:type="dxa"/>
            <w:tcBorders>
              <w:top w:val="single" w:sz="4" w:space="0" w:color="auto"/>
              <w:bottom w:val="single" w:sz="4" w:space="0" w:color="auto"/>
            </w:tcBorders>
            <w:shd w:val="clear" w:color="auto" w:fill="auto"/>
          </w:tcPr>
          <w:p w14:paraId="742FA021" w14:textId="4DB845A2" w:rsidR="00E851F1" w:rsidRPr="00B56D4F" w:rsidRDefault="006D1334" w:rsidP="00DB3F2B">
            <w:pPr>
              <w:rPr>
                <w:rFonts w:ascii="Book Antiqua" w:hAnsi="Book Antiqua"/>
                <w:b/>
                <w:bCs/>
                <w:i/>
                <w:iCs/>
                <w:sz w:val="24"/>
                <w:szCs w:val="24"/>
                <w:lang w:val="id-ID"/>
              </w:rPr>
            </w:pPr>
            <w:r w:rsidRPr="00B56D4F">
              <w:rPr>
                <w:rFonts w:ascii="Book Antiqua" w:hAnsi="Book Antiqua"/>
                <w:b/>
                <w:bCs/>
                <w:i/>
                <w:iCs/>
                <w:sz w:val="24"/>
                <w:szCs w:val="24"/>
                <w:lang w:val="id-ID"/>
              </w:rPr>
              <w:t xml:space="preserve">Article </w:t>
            </w:r>
            <w:r w:rsidR="00E851F1" w:rsidRPr="00B56D4F">
              <w:rPr>
                <w:rFonts w:ascii="Book Antiqua" w:hAnsi="Book Antiqua"/>
                <w:b/>
                <w:bCs/>
                <w:i/>
                <w:iCs/>
                <w:sz w:val="24"/>
                <w:szCs w:val="24"/>
                <w:lang w:val="id-ID"/>
              </w:rPr>
              <w:t xml:space="preserve">Info </w:t>
            </w:r>
          </w:p>
        </w:tc>
        <w:tc>
          <w:tcPr>
            <w:tcW w:w="338" w:type="dxa"/>
          </w:tcPr>
          <w:p w14:paraId="621EF51E" w14:textId="77777777" w:rsidR="00E851F1" w:rsidRPr="00B56D4F" w:rsidRDefault="00E851F1" w:rsidP="00DB3F2B">
            <w:pPr>
              <w:rPr>
                <w:rFonts w:ascii="Book Antiqua" w:hAnsi="Book Antiqua"/>
                <w:b/>
                <w:bCs/>
                <w:i/>
                <w:iCs/>
                <w:sz w:val="24"/>
                <w:szCs w:val="24"/>
                <w:lang w:val="id-ID"/>
              </w:rPr>
            </w:pPr>
          </w:p>
        </w:tc>
        <w:tc>
          <w:tcPr>
            <w:tcW w:w="5485" w:type="dxa"/>
            <w:tcBorders>
              <w:top w:val="single" w:sz="4" w:space="0" w:color="auto"/>
              <w:bottom w:val="single" w:sz="4" w:space="0" w:color="auto"/>
            </w:tcBorders>
            <w:shd w:val="clear" w:color="auto" w:fill="auto"/>
          </w:tcPr>
          <w:p w14:paraId="58AE65BA" w14:textId="77777777" w:rsidR="00E851F1" w:rsidRPr="00B56D4F" w:rsidRDefault="00E851F1" w:rsidP="00DB3F2B">
            <w:pPr>
              <w:rPr>
                <w:rFonts w:ascii="Book Antiqua" w:hAnsi="Book Antiqua"/>
                <w:b/>
                <w:bCs/>
                <w:i/>
                <w:iCs/>
                <w:sz w:val="24"/>
                <w:szCs w:val="24"/>
                <w:lang w:val="id-ID"/>
              </w:rPr>
            </w:pPr>
            <w:r w:rsidRPr="00B56D4F">
              <w:rPr>
                <w:rFonts w:ascii="Book Antiqua" w:hAnsi="Book Antiqua"/>
                <w:b/>
                <w:bCs/>
                <w:i/>
                <w:iCs/>
                <w:sz w:val="24"/>
                <w:szCs w:val="24"/>
                <w:lang w:val="id-ID"/>
              </w:rPr>
              <w:t>Abstract</w:t>
            </w:r>
          </w:p>
        </w:tc>
      </w:tr>
      <w:tr w:rsidR="00B56D4F" w:rsidRPr="00B56D4F" w14:paraId="1EA70136" w14:textId="77777777" w:rsidTr="004F44EE">
        <w:trPr>
          <w:trHeight w:val="2551"/>
        </w:trPr>
        <w:tc>
          <w:tcPr>
            <w:tcW w:w="2790" w:type="dxa"/>
            <w:tcBorders>
              <w:top w:val="single" w:sz="4" w:space="0" w:color="auto"/>
            </w:tcBorders>
            <w:shd w:val="clear" w:color="auto" w:fill="D9D9D9"/>
          </w:tcPr>
          <w:p w14:paraId="3FFEB9C6" w14:textId="4E972302" w:rsidR="00E851F1" w:rsidRPr="00B56D4F" w:rsidRDefault="00F63E20"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Recei</w:t>
            </w:r>
            <w:r w:rsidR="006D1334" w:rsidRPr="00B56D4F">
              <w:rPr>
                <w:rFonts w:ascii="Book Antiqua" w:hAnsi="Book Antiqua"/>
                <w:bCs/>
                <w:i/>
                <w:iCs/>
                <w:sz w:val="24"/>
                <w:szCs w:val="24"/>
                <w:lang w:val="id-ID"/>
              </w:rPr>
              <w:t>ved</w:t>
            </w:r>
            <w:r w:rsidR="00E851F1" w:rsidRPr="00B56D4F">
              <w:rPr>
                <w:rFonts w:ascii="Book Antiqua" w:hAnsi="Book Antiqua"/>
                <w:bCs/>
                <w:i/>
                <w:iCs/>
                <w:sz w:val="24"/>
                <w:szCs w:val="24"/>
                <w:lang w:val="id-ID"/>
              </w:rPr>
              <w:t>:</w:t>
            </w:r>
          </w:p>
          <w:p w14:paraId="2A29C4BC" w14:textId="41286658" w:rsidR="00E851F1" w:rsidRPr="00B56D4F" w:rsidRDefault="006D1334"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Revised</w:t>
            </w:r>
            <w:r w:rsidR="00E851F1" w:rsidRPr="00B56D4F">
              <w:rPr>
                <w:rFonts w:ascii="Book Antiqua" w:hAnsi="Book Antiqua"/>
                <w:bCs/>
                <w:i/>
                <w:iCs/>
                <w:sz w:val="24"/>
                <w:szCs w:val="24"/>
                <w:lang w:val="id-ID"/>
              </w:rPr>
              <w:t>:</w:t>
            </w:r>
          </w:p>
          <w:p w14:paraId="1F6D380A" w14:textId="0280787E" w:rsidR="00E851F1" w:rsidRPr="00B56D4F" w:rsidRDefault="006D1334"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Accepted</w:t>
            </w:r>
            <w:r w:rsidR="00E851F1" w:rsidRPr="00B56D4F">
              <w:rPr>
                <w:rFonts w:ascii="Book Antiqua" w:hAnsi="Book Antiqua"/>
                <w:bCs/>
                <w:i/>
                <w:iCs/>
                <w:sz w:val="24"/>
                <w:szCs w:val="24"/>
                <w:lang w:val="id-ID"/>
              </w:rPr>
              <w:t>:</w:t>
            </w:r>
          </w:p>
          <w:p w14:paraId="3C0BA602" w14:textId="77777777" w:rsidR="00E851F1" w:rsidRPr="00B56D4F" w:rsidRDefault="00E851F1" w:rsidP="00DB3F2B">
            <w:pPr>
              <w:tabs>
                <w:tab w:val="left" w:pos="330"/>
              </w:tabs>
              <w:rPr>
                <w:rFonts w:ascii="Book Antiqua" w:hAnsi="Book Antiqua"/>
                <w:b/>
                <w:bCs/>
                <w:i/>
                <w:iCs/>
                <w:sz w:val="24"/>
                <w:szCs w:val="24"/>
                <w:lang w:val="id-ID"/>
              </w:rPr>
            </w:pPr>
          </w:p>
          <w:p w14:paraId="25EC746B" w14:textId="77777777" w:rsidR="007F76FD" w:rsidRPr="00B56D4F" w:rsidRDefault="00BD6EB6" w:rsidP="00DB3F2B">
            <w:pPr>
              <w:tabs>
                <w:tab w:val="left" w:pos="330"/>
              </w:tabs>
              <w:rPr>
                <w:rFonts w:ascii="Book Antiqua" w:hAnsi="Book Antiqua"/>
                <w:b/>
                <w:bCs/>
                <w:i/>
                <w:iCs/>
                <w:sz w:val="24"/>
                <w:szCs w:val="24"/>
                <w:lang w:val="id-ID"/>
              </w:rPr>
            </w:pPr>
            <w:r w:rsidRPr="00B56D4F">
              <w:rPr>
                <w:rFonts w:ascii="Book Antiqua" w:hAnsi="Book Antiqua"/>
                <w:b/>
                <w:bCs/>
                <w:i/>
                <w:iCs/>
                <w:sz w:val="24"/>
                <w:szCs w:val="24"/>
                <w:lang w:val="id-ID"/>
              </w:rPr>
              <w:t>Keywords:</w:t>
            </w:r>
          </w:p>
          <w:p w14:paraId="296EB7E3" w14:textId="159424D8" w:rsidR="002C1BA2" w:rsidRPr="002C1BA2" w:rsidRDefault="002C1BA2" w:rsidP="002C1BA2">
            <w:pPr>
              <w:spacing w:line="360" w:lineRule="auto"/>
              <w:jc w:val="both"/>
              <w:rPr>
                <w:rFonts w:ascii="Book Antiqua" w:hAnsi="Book Antiqua"/>
                <w:color w:val="000000" w:themeColor="text1"/>
              </w:rPr>
            </w:pPr>
            <w:r w:rsidRPr="002C1BA2">
              <w:rPr>
                <w:rFonts w:ascii="Book Antiqua" w:hAnsi="Book Antiqua"/>
                <w:color w:val="000000" w:themeColor="text1"/>
              </w:rPr>
              <w:t xml:space="preserve">guarantee execution dispute, </w:t>
            </w:r>
            <w:proofErr w:type="spellStart"/>
            <w:proofErr w:type="gramStart"/>
            <w:r w:rsidRPr="002C1BA2">
              <w:rPr>
                <w:rFonts w:ascii="Book Antiqua" w:hAnsi="Book Antiqua"/>
                <w:color w:val="000000" w:themeColor="text1"/>
              </w:rPr>
              <w:t>musyarakah,collateral</w:t>
            </w:r>
            <w:proofErr w:type="spellEnd"/>
            <w:proofErr w:type="gramEnd"/>
            <w:r w:rsidRPr="002C1BA2">
              <w:rPr>
                <w:rFonts w:ascii="Book Antiqua" w:hAnsi="Book Antiqua"/>
                <w:color w:val="000000" w:themeColor="text1"/>
              </w:rPr>
              <w:t xml:space="preserve"> owner's rights</w:t>
            </w:r>
          </w:p>
          <w:p w14:paraId="7B3AF09A" w14:textId="31D3417A" w:rsidR="007F76FD" w:rsidRPr="00B56D4F" w:rsidRDefault="007F76FD" w:rsidP="00E27542">
            <w:pPr>
              <w:tabs>
                <w:tab w:val="left" w:pos="330"/>
              </w:tabs>
              <w:rPr>
                <w:rFonts w:ascii="Book Antiqua" w:hAnsi="Book Antiqua"/>
                <w:bCs/>
                <w:i/>
                <w:iCs/>
                <w:sz w:val="24"/>
                <w:szCs w:val="24"/>
              </w:rPr>
            </w:pPr>
          </w:p>
        </w:tc>
        <w:tc>
          <w:tcPr>
            <w:tcW w:w="338" w:type="dxa"/>
          </w:tcPr>
          <w:p w14:paraId="1F2D4BF1" w14:textId="77777777" w:rsidR="00E851F1" w:rsidRPr="00B56D4F" w:rsidRDefault="00E851F1" w:rsidP="00DB3F2B">
            <w:pPr>
              <w:jc w:val="both"/>
              <w:rPr>
                <w:rFonts w:ascii="Book Antiqua" w:hAnsi="Book Antiqua"/>
                <w:i/>
                <w:sz w:val="24"/>
                <w:szCs w:val="24"/>
                <w:lang w:val="id-ID"/>
              </w:rPr>
            </w:pPr>
          </w:p>
        </w:tc>
        <w:tc>
          <w:tcPr>
            <w:tcW w:w="5485" w:type="dxa"/>
            <w:tcBorders>
              <w:top w:val="single" w:sz="4" w:space="0" w:color="auto"/>
              <w:bottom w:val="single" w:sz="4" w:space="0" w:color="auto"/>
            </w:tcBorders>
            <w:shd w:val="clear" w:color="auto" w:fill="auto"/>
          </w:tcPr>
          <w:p w14:paraId="3E8FEEDA" w14:textId="77777777" w:rsidR="002C1BA2" w:rsidRPr="002C1BA2" w:rsidRDefault="002C1BA2" w:rsidP="002C1BA2">
            <w:pPr>
              <w:jc w:val="both"/>
              <w:rPr>
                <w:rFonts w:ascii="Book Antiqua" w:hAnsi="Book Antiqua"/>
                <w:color w:val="000000" w:themeColor="text1"/>
                <w:sz w:val="22"/>
                <w:szCs w:val="22"/>
              </w:rPr>
            </w:pPr>
            <w:r w:rsidRPr="002C1BA2">
              <w:rPr>
                <w:rFonts w:ascii="Book Antiqua" w:hAnsi="Book Antiqua"/>
                <w:color w:val="000000" w:themeColor="text1"/>
                <w:sz w:val="22"/>
                <w:szCs w:val="22"/>
              </w:rPr>
              <w:t xml:space="preserve">In this context, sometimes there is a disparity in decisions between those who ratify the execution of guarantees and auctions only based on the fact that the customer has defaulted by not paying the installments, and there are judges who consider the negligence factor whether it was intentional by the customer or beyond the ability of the customer, so it is the same case namely the existence of a default, but the decision is different due to different interpretations of the concept of negligence in the Indonesian bank regulations or the DSN MUI fatwa. This research is to answer three questions in the study, namely: (1) What is the basis for consideration and legal reasoning by the judges in resolving cases of disputes over the execution of guarantees in </w:t>
            </w:r>
            <w:proofErr w:type="spellStart"/>
            <w:r w:rsidRPr="002C1BA2">
              <w:rPr>
                <w:rFonts w:ascii="Book Antiqua" w:hAnsi="Book Antiqua"/>
                <w:i/>
                <w:iCs/>
                <w:color w:val="000000" w:themeColor="text1"/>
                <w:sz w:val="22"/>
                <w:szCs w:val="22"/>
              </w:rPr>
              <w:t>musyarakah</w:t>
            </w:r>
            <w:proofErr w:type="spellEnd"/>
            <w:r w:rsidRPr="002C1BA2">
              <w:rPr>
                <w:rFonts w:ascii="Book Antiqua" w:hAnsi="Book Antiqua"/>
                <w:color w:val="000000" w:themeColor="text1"/>
                <w:sz w:val="22"/>
                <w:szCs w:val="22"/>
              </w:rPr>
              <w:t xml:space="preserve"> financing? (2) Why does the decision disparity occur in handling disputes over the execution of guarantees in </w:t>
            </w:r>
            <w:proofErr w:type="spellStart"/>
            <w:r w:rsidRPr="002C1BA2">
              <w:rPr>
                <w:rFonts w:ascii="Book Antiqua" w:hAnsi="Book Antiqua"/>
                <w:i/>
                <w:iCs/>
                <w:color w:val="000000" w:themeColor="text1"/>
                <w:sz w:val="22"/>
                <w:szCs w:val="22"/>
              </w:rPr>
              <w:t>musyarakah</w:t>
            </w:r>
            <w:proofErr w:type="spellEnd"/>
            <w:r w:rsidRPr="002C1BA2">
              <w:rPr>
                <w:rFonts w:ascii="Book Antiqua" w:hAnsi="Book Antiqua"/>
                <w:color w:val="000000" w:themeColor="text1"/>
                <w:sz w:val="22"/>
                <w:szCs w:val="22"/>
              </w:rPr>
              <w:t xml:space="preserve"> financing? (3) Has the construction of the judge's decision provided protection for the rights of the owner of the guarantee in </w:t>
            </w:r>
            <w:proofErr w:type="spellStart"/>
            <w:r w:rsidRPr="002C1BA2">
              <w:rPr>
                <w:rFonts w:ascii="Book Antiqua" w:hAnsi="Book Antiqua"/>
                <w:i/>
                <w:iCs/>
                <w:color w:val="000000" w:themeColor="text1"/>
                <w:sz w:val="22"/>
                <w:szCs w:val="22"/>
              </w:rPr>
              <w:t>musyarakah</w:t>
            </w:r>
            <w:proofErr w:type="spellEnd"/>
            <w:r w:rsidRPr="002C1BA2">
              <w:rPr>
                <w:rFonts w:ascii="Book Antiqua" w:hAnsi="Book Antiqua"/>
                <w:color w:val="000000" w:themeColor="text1"/>
                <w:sz w:val="22"/>
                <w:szCs w:val="22"/>
              </w:rPr>
              <w:t xml:space="preserve"> financing? This type of research includes a variety of legal research with a normative juridical study pattern. To answer the problems in the research, the author examines, analyzes and strengthens the argument by using the theory of legal discovery and the theory of justice. The approach used in this research, namely the case approach is used to examine, explore, and examine judge decisions and the philosophical approach is used to explore in depth legal issues regarding the execution of </w:t>
            </w:r>
            <w:proofErr w:type="spellStart"/>
            <w:r w:rsidRPr="002C1BA2">
              <w:rPr>
                <w:rFonts w:ascii="Book Antiqua" w:hAnsi="Book Antiqua"/>
                <w:color w:val="000000" w:themeColor="text1"/>
                <w:sz w:val="22"/>
                <w:szCs w:val="22"/>
              </w:rPr>
              <w:t>Musyarakah</w:t>
            </w:r>
            <w:proofErr w:type="spellEnd"/>
            <w:r w:rsidRPr="002C1BA2">
              <w:rPr>
                <w:rFonts w:ascii="Book Antiqua" w:hAnsi="Book Antiqua"/>
                <w:color w:val="000000" w:themeColor="text1"/>
                <w:sz w:val="22"/>
                <w:szCs w:val="22"/>
              </w:rPr>
              <w:t xml:space="preserve"> guarantees from various aspects to explain in depth the concept of negligence so as to protect the rights of customers as guarantee owners. The results of this study indicate, firstly, in providing legal considerations and reasoning in the decision on the execution of </w:t>
            </w:r>
            <w:proofErr w:type="spellStart"/>
            <w:r w:rsidRPr="002C1BA2">
              <w:rPr>
                <w:rFonts w:ascii="Book Antiqua" w:hAnsi="Book Antiqua"/>
                <w:color w:val="000000" w:themeColor="text1"/>
                <w:sz w:val="22"/>
                <w:szCs w:val="22"/>
              </w:rPr>
              <w:t>musyarakah</w:t>
            </w:r>
            <w:proofErr w:type="spellEnd"/>
            <w:r w:rsidRPr="002C1BA2">
              <w:rPr>
                <w:rFonts w:ascii="Book Antiqua" w:hAnsi="Book Antiqua"/>
                <w:color w:val="000000" w:themeColor="text1"/>
                <w:sz w:val="22"/>
                <w:szCs w:val="22"/>
              </w:rPr>
              <w:t xml:space="preserve"> </w:t>
            </w:r>
            <w:r w:rsidRPr="002C1BA2">
              <w:rPr>
                <w:rFonts w:ascii="Book Antiqua" w:hAnsi="Book Antiqua"/>
                <w:color w:val="000000" w:themeColor="text1"/>
                <w:sz w:val="22"/>
                <w:szCs w:val="22"/>
              </w:rPr>
              <w:lastRenderedPageBreak/>
              <w:t>guarantees, the judge based on two different tendencies. Some judges apply legal norms as they are without interpreting and others carry out interdisciplinary interpretations. Second, disparities in decisions arise due to (</w:t>
            </w:r>
            <w:proofErr w:type="spellStart"/>
            <w:r w:rsidRPr="002C1BA2">
              <w:rPr>
                <w:rFonts w:ascii="Book Antiqua" w:hAnsi="Book Antiqua"/>
                <w:color w:val="000000" w:themeColor="text1"/>
                <w:sz w:val="22"/>
                <w:szCs w:val="22"/>
              </w:rPr>
              <w:t>i</w:t>
            </w:r>
            <w:proofErr w:type="spellEnd"/>
            <w:r w:rsidRPr="002C1BA2">
              <w:rPr>
                <w:rFonts w:ascii="Book Antiqua" w:hAnsi="Book Antiqua"/>
                <w:color w:val="000000" w:themeColor="text1"/>
                <w:sz w:val="22"/>
                <w:szCs w:val="22"/>
              </w:rPr>
              <w:t>) differences in interpreting statutory provisions which give rise to different methods of legal discovery and interpretation (ii) differences in assessing evidence and (iii) differences in the dynamics of thinking due to differences in understanding the meaning of law. Third, the protection of the rights of the guarantee owner in the construction of judge's decisions is still diverse.</w:t>
            </w:r>
          </w:p>
          <w:p w14:paraId="32CAE6A8" w14:textId="77777777" w:rsidR="002C1BA2" w:rsidRPr="002C1BA2" w:rsidRDefault="002C1BA2" w:rsidP="002C1BA2">
            <w:pPr>
              <w:jc w:val="both"/>
              <w:rPr>
                <w:rFonts w:ascii="Book Antiqua" w:hAnsi="Book Antiqua"/>
                <w:color w:val="000000" w:themeColor="text1"/>
                <w:sz w:val="22"/>
                <w:szCs w:val="22"/>
              </w:rPr>
            </w:pPr>
          </w:p>
          <w:p w14:paraId="27C72A1A" w14:textId="5963BFF6" w:rsidR="00C67789" w:rsidRPr="002C1BA2" w:rsidRDefault="00C67789" w:rsidP="00E27542">
            <w:pPr>
              <w:jc w:val="both"/>
              <w:rPr>
                <w:rFonts w:ascii="Book Antiqua" w:hAnsi="Book Antiqua"/>
                <w:i/>
                <w:sz w:val="22"/>
                <w:szCs w:val="22"/>
              </w:rPr>
            </w:pPr>
          </w:p>
        </w:tc>
      </w:tr>
      <w:tr w:rsidR="00B56D4F" w:rsidRPr="00B56D4F" w14:paraId="0AB5E8FC" w14:textId="77777777" w:rsidTr="004F44EE">
        <w:tc>
          <w:tcPr>
            <w:tcW w:w="2790" w:type="dxa"/>
            <w:tcBorders>
              <w:bottom w:val="single" w:sz="4" w:space="0" w:color="auto"/>
            </w:tcBorders>
            <w:shd w:val="clear" w:color="auto" w:fill="D9D9D9"/>
          </w:tcPr>
          <w:p w14:paraId="0804DC32" w14:textId="77777777" w:rsidR="00E851F1" w:rsidRPr="00B56D4F" w:rsidRDefault="00E851F1" w:rsidP="00DB3F2B">
            <w:pPr>
              <w:rPr>
                <w:rFonts w:ascii="Book Antiqua" w:hAnsi="Book Antiqua"/>
                <w:bCs/>
                <w:i/>
                <w:iCs/>
                <w:sz w:val="24"/>
                <w:szCs w:val="24"/>
                <w:lang w:val="id-ID"/>
              </w:rPr>
            </w:pPr>
          </w:p>
        </w:tc>
        <w:tc>
          <w:tcPr>
            <w:tcW w:w="338" w:type="dxa"/>
          </w:tcPr>
          <w:p w14:paraId="3D80194B" w14:textId="77777777" w:rsidR="00E851F1" w:rsidRPr="00B56D4F" w:rsidRDefault="00E851F1" w:rsidP="00DB3F2B">
            <w:pPr>
              <w:rPr>
                <w:rFonts w:ascii="Book Antiqua" w:hAnsi="Book Antiqua"/>
                <w:i/>
                <w:iCs/>
                <w:sz w:val="24"/>
                <w:szCs w:val="24"/>
                <w:lang w:val="id-ID"/>
              </w:rPr>
            </w:pPr>
          </w:p>
        </w:tc>
        <w:tc>
          <w:tcPr>
            <w:tcW w:w="5485" w:type="dxa"/>
            <w:tcBorders>
              <w:bottom w:val="single" w:sz="4" w:space="0" w:color="auto"/>
            </w:tcBorders>
            <w:shd w:val="clear" w:color="auto" w:fill="auto"/>
          </w:tcPr>
          <w:p w14:paraId="765735BF" w14:textId="03A7C87B" w:rsidR="00E851F1" w:rsidRPr="00B56D4F" w:rsidRDefault="00E851F1" w:rsidP="006D1334">
            <w:pPr>
              <w:rPr>
                <w:rFonts w:ascii="Book Antiqua" w:hAnsi="Book Antiqua"/>
                <w:b/>
                <w:bCs/>
                <w:i/>
                <w:iCs/>
                <w:sz w:val="24"/>
                <w:szCs w:val="24"/>
                <w:lang w:val="id-ID"/>
              </w:rPr>
            </w:pPr>
          </w:p>
        </w:tc>
      </w:tr>
    </w:tbl>
    <w:p w14:paraId="7FB7C41D" w14:textId="77777777" w:rsidR="0096558F" w:rsidRPr="00B56D4F" w:rsidRDefault="0096558F" w:rsidP="00DB3F2B">
      <w:pPr>
        <w:rPr>
          <w:rFonts w:ascii="Book Antiqua" w:hAnsi="Book Antiqua"/>
          <w:b/>
          <w:bCs/>
          <w:i/>
          <w:iCs/>
          <w:sz w:val="24"/>
          <w:szCs w:val="24"/>
          <w:lang w:val="id-ID"/>
        </w:rPr>
      </w:pPr>
    </w:p>
    <w:p w14:paraId="47EB920F" w14:textId="0CC9F920" w:rsidR="00DB3F2B" w:rsidRDefault="006D1334" w:rsidP="00882EA9">
      <w:pPr>
        <w:numPr>
          <w:ilvl w:val="0"/>
          <w:numId w:val="18"/>
        </w:numPr>
        <w:spacing w:after="240"/>
        <w:ind w:left="284" w:hanging="283"/>
        <w:rPr>
          <w:rFonts w:ascii="Book Antiqua" w:hAnsi="Book Antiqua"/>
          <w:b/>
          <w:bCs/>
          <w:sz w:val="24"/>
          <w:szCs w:val="24"/>
          <w:lang w:val="id-ID"/>
        </w:rPr>
      </w:pPr>
      <w:r w:rsidRPr="00B56D4F">
        <w:rPr>
          <w:rFonts w:ascii="Book Antiqua" w:hAnsi="Book Antiqua"/>
          <w:b/>
          <w:bCs/>
          <w:sz w:val="24"/>
          <w:szCs w:val="24"/>
          <w:lang w:val="id-ID"/>
        </w:rPr>
        <w:t>Introduction</w:t>
      </w:r>
    </w:p>
    <w:p w14:paraId="3012EC0C" w14:textId="77777777" w:rsidR="002C1BA2" w:rsidRPr="002C1BA2" w:rsidRDefault="002C1BA2" w:rsidP="002C1BA2">
      <w:pPr>
        <w:pStyle w:val="ListParagraph"/>
        <w:spacing w:line="240" w:lineRule="auto"/>
        <w:jc w:val="both"/>
        <w:rPr>
          <w:rFonts w:ascii="Book Antiqua" w:hAnsi="Book Antiqua"/>
          <w:color w:val="000000" w:themeColor="text1"/>
          <w:sz w:val="24"/>
          <w:szCs w:val="24"/>
        </w:rPr>
      </w:pPr>
      <w:proofErr w:type="spellStart"/>
      <w:r w:rsidRPr="002C1BA2">
        <w:rPr>
          <w:rFonts w:ascii="Book Antiqua" w:hAnsi="Book Antiqua"/>
          <w:i/>
          <w:iCs/>
          <w:color w:val="000000" w:themeColor="text1"/>
          <w:sz w:val="24"/>
          <w:szCs w:val="24"/>
        </w:rPr>
        <w:t>Musyarakah</w:t>
      </w:r>
      <w:proofErr w:type="spellEnd"/>
      <w:r w:rsidRPr="002C1BA2">
        <w:rPr>
          <w:rFonts w:ascii="Book Antiqua" w:hAnsi="Book Antiqua"/>
          <w:color w:val="000000" w:themeColor="text1"/>
          <w:sz w:val="24"/>
          <w:szCs w:val="24"/>
        </w:rPr>
        <w:t xml:space="preserve"> is one of the sharia banking products in which the customer and the bank both commit themselves to a partnership for business and/or capital with a profit or loss sharing system according to their respective portions. Like </w:t>
      </w:r>
      <w:proofErr w:type="spellStart"/>
      <w:r w:rsidRPr="002C1BA2">
        <w:rPr>
          <w:rFonts w:ascii="Book Antiqua" w:hAnsi="Book Antiqua"/>
          <w:i/>
          <w:iCs/>
          <w:color w:val="000000" w:themeColor="text1"/>
          <w:sz w:val="24"/>
          <w:szCs w:val="24"/>
        </w:rPr>
        <w:t>mudharabah</w:t>
      </w:r>
      <w:proofErr w:type="spellEnd"/>
      <w:r w:rsidRPr="002C1BA2">
        <w:rPr>
          <w:rFonts w:ascii="Book Antiqua" w:hAnsi="Book Antiqua"/>
          <w:i/>
          <w:iCs/>
          <w:color w:val="000000" w:themeColor="text1"/>
          <w:sz w:val="24"/>
          <w:szCs w:val="24"/>
        </w:rPr>
        <w:t xml:space="preserve">, </w:t>
      </w:r>
      <w:proofErr w:type="spellStart"/>
      <w:r w:rsidRPr="002C1BA2">
        <w:rPr>
          <w:rFonts w:ascii="Book Antiqua" w:hAnsi="Book Antiqua"/>
          <w:i/>
          <w:iCs/>
          <w:color w:val="000000" w:themeColor="text1"/>
          <w:sz w:val="24"/>
          <w:szCs w:val="24"/>
        </w:rPr>
        <w:t>musyarakah</w:t>
      </w:r>
      <w:proofErr w:type="spellEnd"/>
      <w:r w:rsidRPr="002C1BA2">
        <w:rPr>
          <w:rFonts w:ascii="Book Antiqua" w:hAnsi="Book Antiqua"/>
          <w:color w:val="000000" w:themeColor="text1"/>
          <w:sz w:val="24"/>
          <w:szCs w:val="24"/>
        </w:rPr>
        <w:t xml:space="preserve"> was originally a form of contract based on trust, and not a compensation contract or based on accounts payable. Fatwa of the National </w:t>
      </w:r>
      <w:proofErr w:type="spellStart"/>
      <w:r w:rsidRPr="002C1BA2">
        <w:rPr>
          <w:rFonts w:ascii="Book Antiqua" w:hAnsi="Book Antiqua"/>
          <w:color w:val="000000" w:themeColor="text1"/>
          <w:sz w:val="24"/>
          <w:szCs w:val="24"/>
        </w:rPr>
        <w:t>Syari'ah</w:t>
      </w:r>
      <w:proofErr w:type="spellEnd"/>
      <w:r w:rsidRPr="002C1BA2">
        <w:rPr>
          <w:rFonts w:ascii="Book Antiqua" w:hAnsi="Book Antiqua"/>
          <w:color w:val="000000" w:themeColor="text1"/>
          <w:sz w:val="24"/>
          <w:szCs w:val="24"/>
        </w:rPr>
        <w:t xml:space="preserve"> Council of the Indonesian Ulema Council (hereinafter abbreviated as </w:t>
      </w:r>
      <w:r w:rsidRPr="002C1BA2">
        <w:rPr>
          <w:rFonts w:ascii="Book Antiqua" w:hAnsi="Book Antiqua"/>
          <w:b/>
          <w:bCs/>
          <w:color w:val="000000" w:themeColor="text1"/>
          <w:sz w:val="24"/>
          <w:szCs w:val="24"/>
        </w:rPr>
        <w:t>DSN MUI</w:t>
      </w:r>
      <w:r w:rsidRPr="002C1BA2">
        <w:rPr>
          <w:rFonts w:ascii="Book Antiqua" w:hAnsi="Book Antiqua"/>
          <w:color w:val="000000" w:themeColor="text1"/>
          <w:sz w:val="24"/>
          <w:szCs w:val="24"/>
        </w:rPr>
        <w:t xml:space="preserve"> fatwa: in </w:t>
      </w:r>
      <w:r w:rsidRPr="002C1BA2">
        <w:rPr>
          <w:rFonts w:ascii="Book Antiqua" w:hAnsi="Book Antiqua"/>
          <w:b/>
          <w:bCs/>
          <w:color w:val="000000" w:themeColor="text1"/>
          <w:sz w:val="24"/>
          <w:szCs w:val="24"/>
        </w:rPr>
        <w:t>Indonesian</w:t>
      </w:r>
      <w:r w:rsidRPr="002C1BA2">
        <w:rPr>
          <w:rFonts w:ascii="Book Antiqua" w:hAnsi="Book Antiqua"/>
          <w:color w:val="000000" w:themeColor="text1"/>
          <w:sz w:val="24"/>
          <w:szCs w:val="24"/>
        </w:rPr>
        <w:t xml:space="preserve">) Number 08/DSN-MUI/IV/2000 concerning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states that in principle, in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there is no guarantee, but to avoid deviations, Sharia Financial Institutions (hereinafter abbreviated as </w:t>
      </w:r>
      <w:r w:rsidRPr="002C1BA2">
        <w:rPr>
          <w:rFonts w:ascii="Book Antiqua" w:hAnsi="Book Antiqua"/>
          <w:b/>
          <w:bCs/>
          <w:color w:val="000000" w:themeColor="text1"/>
          <w:sz w:val="24"/>
          <w:szCs w:val="24"/>
        </w:rPr>
        <w:t>LKS: in Indonesian</w:t>
      </w:r>
      <w:r w:rsidRPr="002C1BA2">
        <w:rPr>
          <w:rFonts w:ascii="Book Antiqua" w:hAnsi="Book Antiqua"/>
          <w:color w:val="000000" w:themeColor="text1"/>
          <w:sz w:val="24"/>
          <w:szCs w:val="24"/>
        </w:rPr>
        <w:t xml:space="preserve">) can ask for guarantees from customers. Furthermore, regarding the disbursement of guarantees in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Bank Indonesia Regulation (hereinafter abbreviated as </w:t>
      </w:r>
      <w:r w:rsidRPr="002C1BA2">
        <w:rPr>
          <w:rFonts w:ascii="Book Antiqua" w:hAnsi="Book Antiqua"/>
          <w:b/>
          <w:bCs/>
          <w:color w:val="000000" w:themeColor="text1"/>
          <w:sz w:val="24"/>
          <w:szCs w:val="24"/>
        </w:rPr>
        <w:t>PBI: Indonesian</w:t>
      </w:r>
      <w:r w:rsidRPr="002C1BA2">
        <w:rPr>
          <w:rFonts w:ascii="Book Antiqua" w:hAnsi="Book Antiqua"/>
          <w:color w:val="000000" w:themeColor="text1"/>
          <w:sz w:val="24"/>
          <w:szCs w:val="24"/>
        </w:rPr>
        <w:t>) Number 7/46/PBI/2005 in Article 8 letter o states:</w:t>
      </w:r>
    </w:p>
    <w:p w14:paraId="63C0D720" w14:textId="6F403856" w:rsidR="002C1BA2" w:rsidRPr="002C1BA2" w:rsidRDefault="002C1BA2" w:rsidP="002C1BA2">
      <w:pPr>
        <w:pStyle w:val="ListParagraph"/>
        <w:spacing w:line="240" w:lineRule="auto"/>
        <w:jc w:val="both"/>
        <w:rPr>
          <w:rFonts w:ascii="Book Antiqua" w:hAnsi="Book Antiqua"/>
          <w:i/>
          <w:iCs/>
          <w:color w:val="000000" w:themeColor="text1"/>
          <w:sz w:val="24"/>
          <w:szCs w:val="24"/>
        </w:rPr>
      </w:pPr>
      <w:r w:rsidRPr="002C1BA2">
        <w:rPr>
          <w:rFonts w:ascii="Book Antiqua" w:hAnsi="Book Antiqua"/>
          <w:i/>
          <w:iCs/>
          <w:color w:val="000000" w:themeColor="text1"/>
          <w:sz w:val="24"/>
          <w:szCs w:val="24"/>
        </w:rPr>
        <w:t xml:space="preserve">Banks can ask for guarantees or collateral to anticipate risks if the customer is unable to </w:t>
      </w:r>
      <w:proofErr w:type="spellStart"/>
      <w:r w:rsidRPr="002C1BA2">
        <w:rPr>
          <w:rFonts w:ascii="Book Antiqua" w:hAnsi="Book Antiqua"/>
          <w:i/>
          <w:iCs/>
          <w:color w:val="000000" w:themeColor="text1"/>
          <w:sz w:val="24"/>
          <w:szCs w:val="24"/>
        </w:rPr>
        <w:t>fulfill</w:t>
      </w:r>
      <w:proofErr w:type="spellEnd"/>
      <w:r w:rsidRPr="002C1BA2">
        <w:rPr>
          <w:rFonts w:ascii="Book Antiqua" w:hAnsi="Book Antiqua"/>
          <w:i/>
          <w:iCs/>
          <w:color w:val="000000" w:themeColor="text1"/>
          <w:sz w:val="24"/>
          <w:szCs w:val="24"/>
        </w:rPr>
        <w:t xml:space="preserve"> the obligations as contained in the </w:t>
      </w:r>
      <w:proofErr w:type="spellStart"/>
      <w:r w:rsidRPr="002C1BA2">
        <w:rPr>
          <w:rFonts w:ascii="Book Antiqua" w:hAnsi="Book Antiqua"/>
          <w:i/>
          <w:iCs/>
          <w:color w:val="000000" w:themeColor="text1"/>
          <w:sz w:val="24"/>
          <w:szCs w:val="24"/>
        </w:rPr>
        <w:t>Akad</w:t>
      </w:r>
      <w:proofErr w:type="spellEnd"/>
      <w:r w:rsidRPr="002C1BA2">
        <w:rPr>
          <w:rFonts w:ascii="Book Antiqua" w:hAnsi="Book Antiqua"/>
          <w:i/>
          <w:iCs/>
          <w:color w:val="000000" w:themeColor="text1"/>
          <w:sz w:val="24"/>
          <w:szCs w:val="24"/>
        </w:rPr>
        <w:t xml:space="preserve"> due to negligence or fraud.</w:t>
      </w:r>
    </w:p>
    <w:p w14:paraId="7809CCD3" w14:textId="77777777" w:rsidR="002C1BA2" w:rsidRPr="002C1BA2" w:rsidRDefault="002C1BA2" w:rsidP="002C1BA2">
      <w:pPr>
        <w:pStyle w:val="ListParagraph"/>
        <w:spacing w:line="240" w:lineRule="auto"/>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From the description above,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guarantee can only be disbursed if the customer is proven to have made a deliberate mistake, negligent, or violated the things that have been mutually agreed upon in the contract.</w:t>
      </w:r>
    </w:p>
    <w:p w14:paraId="2B03B191" w14:textId="77777777" w:rsidR="002C1BA2" w:rsidRPr="002C1BA2" w:rsidRDefault="002C1BA2" w:rsidP="002C1BA2">
      <w:pPr>
        <w:pStyle w:val="ListParagraph"/>
        <w:spacing w:line="240" w:lineRule="auto"/>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The characteristics of collateral in </w:t>
      </w:r>
      <w:proofErr w:type="spellStart"/>
      <w:r w:rsidRPr="002C1BA2">
        <w:rPr>
          <w:rFonts w:ascii="Book Antiqua" w:hAnsi="Book Antiqua"/>
          <w:i/>
          <w:iCs/>
          <w:color w:val="000000" w:themeColor="text1"/>
          <w:sz w:val="24"/>
          <w:szCs w:val="24"/>
        </w:rPr>
        <w:t>musyarakah</w:t>
      </w:r>
      <w:proofErr w:type="spellEnd"/>
      <w:r w:rsidRPr="002C1BA2">
        <w:rPr>
          <w:rFonts w:ascii="Book Antiqua" w:hAnsi="Book Antiqua"/>
          <w:color w:val="000000" w:themeColor="text1"/>
          <w:sz w:val="24"/>
          <w:szCs w:val="24"/>
        </w:rPr>
        <w:t xml:space="preserve"> financing are different from guarantees in accounts payable. The guarantee in the </w:t>
      </w:r>
      <w:proofErr w:type="spellStart"/>
      <w:r w:rsidRPr="002C1BA2">
        <w:rPr>
          <w:rFonts w:ascii="Book Antiqua" w:hAnsi="Book Antiqua"/>
          <w:i/>
          <w:iCs/>
          <w:color w:val="000000" w:themeColor="text1"/>
          <w:sz w:val="24"/>
          <w:szCs w:val="24"/>
        </w:rPr>
        <w:t>musyarakah</w:t>
      </w:r>
      <w:proofErr w:type="spellEnd"/>
      <w:r w:rsidRPr="002C1BA2">
        <w:rPr>
          <w:rFonts w:ascii="Book Antiqua" w:hAnsi="Book Antiqua"/>
          <w:color w:val="000000" w:themeColor="text1"/>
          <w:sz w:val="24"/>
          <w:szCs w:val="24"/>
        </w:rPr>
        <w:t xml:space="preserve"> is held to bind the customer so that the customer does not do whatever he wants </w:t>
      </w:r>
      <w:r w:rsidRPr="002C1BA2">
        <w:rPr>
          <w:rFonts w:ascii="Book Antiqua" w:hAnsi="Book Antiqua"/>
          <w:color w:val="000000" w:themeColor="text1"/>
          <w:sz w:val="24"/>
          <w:szCs w:val="24"/>
        </w:rPr>
        <w:lastRenderedPageBreak/>
        <w:t>to the capital invested by the LKS, so that it does not harm the LKS. While guarantees in accounts payable are held to replace unpaid debts.</w:t>
      </w:r>
    </w:p>
    <w:p w14:paraId="47BFC557" w14:textId="77777777" w:rsidR="002C1BA2" w:rsidRPr="002C1BA2" w:rsidRDefault="002C1BA2" w:rsidP="002C1BA2">
      <w:pPr>
        <w:pStyle w:val="ListParagraph"/>
        <w:spacing w:line="240" w:lineRule="auto"/>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In the course of the </w:t>
      </w:r>
      <w:proofErr w:type="spellStart"/>
      <w:r w:rsidRPr="002C1BA2">
        <w:rPr>
          <w:rFonts w:ascii="Book Antiqua" w:hAnsi="Book Antiqua"/>
          <w:i/>
          <w:iCs/>
          <w:color w:val="000000" w:themeColor="text1"/>
          <w:sz w:val="24"/>
          <w:szCs w:val="24"/>
        </w:rPr>
        <w:t>musyarakah</w:t>
      </w:r>
      <w:proofErr w:type="spellEnd"/>
      <w:r w:rsidRPr="002C1BA2">
        <w:rPr>
          <w:rFonts w:ascii="Book Antiqua" w:hAnsi="Book Antiqua"/>
          <w:color w:val="000000" w:themeColor="text1"/>
          <w:sz w:val="24"/>
          <w:szCs w:val="24"/>
        </w:rPr>
        <w:t xml:space="preserve"> business, there are often delays in payment of </w:t>
      </w:r>
      <w:proofErr w:type="spellStart"/>
      <w:r w:rsidRPr="002C1BA2">
        <w:rPr>
          <w:rFonts w:ascii="Book Antiqua" w:hAnsi="Book Antiqua"/>
          <w:color w:val="000000" w:themeColor="text1"/>
          <w:sz w:val="24"/>
          <w:szCs w:val="24"/>
        </w:rPr>
        <w:t>installments</w:t>
      </w:r>
      <w:proofErr w:type="spellEnd"/>
      <w:r w:rsidRPr="002C1BA2">
        <w:rPr>
          <w:rFonts w:ascii="Book Antiqua" w:hAnsi="Book Antiqua"/>
          <w:color w:val="000000" w:themeColor="text1"/>
          <w:sz w:val="24"/>
          <w:szCs w:val="24"/>
        </w:rPr>
        <w:t xml:space="preserve"> from the customer to the LKS. This condition triggers a dispute between the two, especially when the LKS wants to execute the customer's guarantee so that it is not uncommon for the dispute to go to the Religious Court.</w:t>
      </w:r>
    </w:p>
    <w:p w14:paraId="23028741" w14:textId="77777777" w:rsidR="002C1BA2" w:rsidRPr="002C1BA2" w:rsidRDefault="002C1BA2" w:rsidP="002C1BA2">
      <w:pPr>
        <w:pStyle w:val="ListParagraph"/>
        <w:spacing w:line="240" w:lineRule="auto"/>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When examining and adjudicating disputes between LKS and customers in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in which there is a problem of confiscation of collateral or confiscation of execution of the guarantee, the first thing that the judge must remember is that the guarantee in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is not compensation for unpaid debts, but it is compensation for the negligence and intentional mistakes of the customer, causing losses to the capital invested by LKS. In other words, if the disbursement of collateral in accounts payable depends on the existence of a default/failure to pay </w:t>
      </w:r>
      <w:proofErr w:type="spellStart"/>
      <w:r w:rsidRPr="002C1BA2">
        <w:rPr>
          <w:rFonts w:ascii="Book Antiqua" w:hAnsi="Book Antiqua"/>
          <w:color w:val="000000" w:themeColor="text1"/>
          <w:sz w:val="24"/>
          <w:szCs w:val="24"/>
        </w:rPr>
        <w:t>installments</w:t>
      </w:r>
      <w:proofErr w:type="spellEnd"/>
      <w:r w:rsidRPr="002C1BA2">
        <w:rPr>
          <w:rFonts w:ascii="Book Antiqua" w:hAnsi="Book Antiqua"/>
          <w:color w:val="000000" w:themeColor="text1"/>
          <w:sz w:val="24"/>
          <w:szCs w:val="24"/>
        </w:rPr>
        <w:t xml:space="preserve"> from the debtor, then the disbursement of the guarantee in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depends on the negligence and intentional mistake of the customer causing the default. So not all defaults due to default conditions can be used as the basis for disbursing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guarantees.</w:t>
      </w:r>
    </w:p>
    <w:p w14:paraId="330B8AA0" w14:textId="77777777" w:rsidR="002C1BA2" w:rsidRPr="002C1BA2" w:rsidRDefault="002C1BA2" w:rsidP="002C1BA2">
      <w:pPr>
        <w:pStyle w:val="ListParagraph"/>
        <w:spacing w:line="240" w:lineRule="auto"/>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Problems then arise when adjudicating the case for the execution of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guarantees, there is a judge's decision that does not consider whether the element of "customer error and negligence" has been fulfilled and only considers the condition of default/failure to pay. This kind of consideration is certainly different from the conception of "customer errors and omissions/</w:t>
      </w:r>
      <w:proofErr w:type="spellStart"/>
      <w:r w:rsidRPr="002C1BA2">
        <w:rPr>
          <w:rFonts w:ascii="Book Antiqua" w:hAnsi="Book Antiqua"/>
          <w:i/>
          <w:iCs/>
          <w:color w:val="000000" w:themeColor="text1"/>
          <w:sz w:val="24"/>
          <w:szCs w:val="24"/>
        </w:rPr>
        <w:t>syarik</w:t>
      </w:r>
      <w:proofErr w:type="spellEnd"/>
      <w:r w:rsidRPr="002C1BA2">
        <w:rPr>
          <w:rFonts w:ascii="Book Antiqua" w:hAnsi="Book Antiqua"/>
          <w:color w:val="000000" w:themeColor="text1"/>
          <w:sz w:val="24"/>
          <w:szCs w:val="24"/>
        </w:rPr>
        <w:t xml:space="preserve">" which is known in the </w:t>
      </w:r>
      <w:proofErr w:type="spellStart"/>
      <w:r w:rsidRPr="002C1BA2">
        <w:rPr>
          <w:rFonts w:ascii="Book Antiqua" w:hAnsi="Book Antiqua"/>
          <w:color w:val="000000" w:themeColor="text1"/>
          <w:sz w:val="24"/>
          <w:szCs w:val="24"/>
        </w:rPr>
        <w:t>fiqh</w:t>
      </w:r>
      <w:proofErr w:type="spellEnd"/>
      <w:r w:rsidRPr="002C1BA2">
        <w:rPr>
          <w:rFonts w:ascii="Book Antiqua" w:hAnsi="Book Antiqua"/>
          <w:color w:val="000000" w:themeColor="text1"/>
          <w:sz w:val="24"/>
          <w:szCs w:val="24"/>
        </w:rPr>
        <w:t xml:space="preserve"> literature, because it seems to generalize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contract with the debt contract.</w:t>
      </w:r>
    </w:p>
    <w:p w14:paraId="5CD1F6F0" w14:textId="77777777" w:rsidR="002C1BA2" w:rsidRPr="002C1BA2" w:rsidRDefault="002C1BA2" w:rsidP="002C1BA2">
      <w:pPr>
        <w:pStyle w:val="ListParagraph"/>
        <w:spacing w:line="240" w:lineRule="auto"/>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Starting from the above, the problem in this research is focused on examining whether the legal reasoning in the decision on the execution of the problematic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guarantee in the religious court has taken into account the interests and rights of the customer as the owner of the guarantee in which case it turns out that the default is not due to negligence on the part of the customer. To be more specific, this study will examine three decisions of the religious courts in the case of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guarantee dispute. The three were selected to represent other cases that were settled in Indonesia's religious courts. It aims to map the types of legal reasoning and their impact on the protection of the customer's rights as the owner of the guarantee. The decision was the decision of the Medan Religious Court (hereinafter abbreviated as </w:t>
      </w:r>
      <w:r w:rsidRPr="002C1BA2">
        <w:rPr>
          <w:rFonts w:ascii="Book Antiqua" w:hAnsi="Book Antiqua"/>
          <w:b/>
          <w:bCs/>
          <w:color w:val="000000" w:themeColor="text1"/>
          <w:sz w:val="24"/>
          <w:szCs w:val="24"/>
        </w:rPr>
        <w:t>PA Medan: in Indonesian</w:t>
      </w:r>
      <w:r w:rsidRPr="002C1BA2">
        <w:rPr>
          <w:rFonts w:ascii="Book Antiqua" w:hAnsi="Book Antiqua"/>
          <w:color w:val="000000" w:themeColor="text1"/>
          <w:sz w:val="24"/>
          <w:szCs w:val="24"/>
        </w:rPr>
        <w:t>) Number 944/</w:t>
      </w:r>
      <w:proofErr w:type="spellStart"/>
      <w:r w:rsidRPr="002C1BA2">
        <w:rPr>
          <w:rFonts w:ascii="Book Antiqua" w:hAnsi="Book Antiqua"/>
          <w:color w:val="000000" w:themeColor="text1"/>
          <w:sz w:val="24"/>
          <w:szCs w:val="24"/>
        </w:rPr>
        <w:t>Pdt.G</w:t>
      </w:r>
      <w:proofErr w:type="spellEnd"/>
      <w:r w:rsidRPr="002C1BA2">
        <w:rPr>
          <w:rFonts w:ascii="Book Antiqua" w:hAnsi="Book Antiqua"/>
          <w:color w:val="000000" w:themeColor="text1"/>
          <w:sz w:val="24"/>
          <w:szCs w:val="24"/>
        </w:rPr>
        <w:t>/2015/</w:t>
      </w:r>
      <w:proofErr w:type="spellStart"/>
      <w:r w:rsidRPr="002C1BA2">
        <w:rPr>
          <w:rFonts w:ascii="Book Antiqua" w:hAnsi="Book Antiqua"/>
          <w:color w:val="000000" w:themeColor="text1"/>
          <w:sz w:val="24"/>
          <w:szCs w:val="24"/>
        </w:rPr>
        <w:t>PA.Mdn</w:t>
      </w:r>
      <w:proofErr w:type="spellEnd"/>
      <w:r w:rsidRPr="002C1BA2">
        <w:rPr>
          <w:rFonts w:ascii="Book Antiqua" w:hAnsi="Book Antiqua"/>
          <w:color w:val="000000" w:themeColor="text1"/>
          <w:sz w:val="24"/>
          <w:szCs w:val="24"/>
        </w:rPr>
        <w:t xml:space="preserve"> dated March 10, 2016 which was later annulled by the Medan Religious High Court Decision (hereinafter abbreviated as </w:t>
      </w:r>
      <w:r w:rsidRPr="002C1BA2">
        <w:rPr>
          <w:rFonts w:ascii="Book Antiqua" w:hAnsi="Book Antiqua"/>
          <w:b/>
          <w:bCs/>
          <w:color w:val="000000" w:themeColor="text1"/>
          <w:sz w:val="24"/>
          <w:szCs w:val="24"/>
        </w:rPr>
        <w:t>PTA Medan: in Indonesian</w:t>
      </w:r>
      <w:r w:rsidRPr="002C1BA2">
        <w:rPr>
          <w:rFonts w:ascii="Book Antiqua" w:hAnsi="Book Antiqua"/>
          <w:color w:val="000000" w:themeColor="text1"/>
          <w:sz w:val="24"/>
          <w:szCs w:val="24"/>
        </w:rPr>
        <w:t>) Number 68/</w:t>
      </w:r>
      <w:proofErr w:type="spellStart"/>
      <w:r w:rsidRPr="002C1BA2">
        <w:rPr>
          <w:rFonts w:ascii="Book Antiqua" w:hAnsi="Book Antiqua"/>
          <w:color w:val="000000" w:themeColor="text1"/>
          <w:sz w:val="24"/>
          <w:szCs w:val="24"/>
        </w:rPr>
        <w:t>Pdt</w:t>
      </w:r>
      <w:proofErr w:type="spellEnd"/>
      <w:r w:rsidRPr="002C1BA2">
        <w:rPr>
          <w:rFonts w:ascii="Book Antiqua" w:hAnsi="Book Antiqua"/>
          <w:color w:val="000000" w:themeColor="text1"/>
          <w:sz w:val="24"/>
          <w:szCs w:val="24"/>
        </w:rPr>
        <w:t xml:space="preserve"> .G/2016/</w:t>
      </w:r>
      <w:proofErr w:type="spellStart"/>
      <w:r w:rsidRPr="002C1BA2">
        <w:rPr>
          <w:rFonts w:ascii="Book Antiqua" w:hAnsi="Book Antiqua"/>
          <w:color w:val="000000" w:themeColor="text1"/>
          <w:sz w:val="24"/>
          <w:szCs w:val="24"/>
        </w:rPr>
        <w:t>PTA.Mdn</w:t>
      </w:r>
      <w:proofErr w:type="spellEnd"/>
      <w:r w:rsidRPr="002C1BA2">
        <w:rPr>
          <w:rFonts w:ascii="Book Antiqua" w:hAnsi="Book Antiqua"/>
          <w:color w:val="000000" w:themeColor="text1"/>
          <w:sz w:val="24"/>
          <w:szCs w:val="24"/>
        </w:rPr>
        <w:t xml:space="preserve"> dated October 5, 2016, but later the decision of </w:t>
      </w:r>
      <w:r w:rsidRPr="002C1BA2">
        <w:rPr>
          <w:rFonts w:ascii="Book Antiqua" w:hAnsi="Book Antiqua"/>
          <w:color w:val="000000" w:themeColor="text1"/>
          <w:sz w:val="24"/>
          <w:szCs w:val="24"/>
        </w:rPr>
        <w:lastRenderedPageBreak/>
        <w:t xml:space="preserve">the first instance was upheld by the Cassation Decision of the Supreme Court (hereinafter abbreviated as </w:t>
      </w:r>
      <w:r w:rsidRPr="002C1BA2">
        <w:rPr>
          <w:rFonts w:ascii="Book Antiqua" w:hAnsi="Book Antiqua"/>
          <w:b/>
          <w:bCs/>
          <w:color w:val="000000" w:themeColor="text1"/>
          <w:sz w:val="24"/>
          <w:szCs w:val="24"/>
        </w:rPr>
        <w:t>MA: in Indonesian</w:t>
      </w:r>
      <w:r w:rsidRPr="002C1BA2">
        <w:rPr>
          <w:rFonts w:ascii="Book Antiqua" w:hAnsi="Book Antiqua"/>
          <w:color w:val="000000" w:themeColor="text1"/>
          <w:sz w:val="24"/>
          <w:szCs w:val="24"/>
        </w:rPr>
        <w:t>) Number 624 K/Ag/2017 dated October 25, 2017.</w:t>
      </w:r>
    </w:p>
    <w:p w14:paraId="7DFB34B8" w14:textId="77777777" w:rsidR="002C1BA2" w:rsidRPr="002C1BA2" w:rsidRDefault="002C1BA2" w:rsidP="002C1BA2">
      <w:pPr>
        <w:pStyle w:val="ListParagraph"/>
        <w:spacing w:line="240" w:lineRule="auto"/>
        <w:jc w:val="both"/>
        <w:rPr>
          <w:rFonts w:ascii="Book Antiqua" w:hAnsi="Book Antiqua"/>
          <w:color w:val="000000" w:themeColor="text1"/>
          <w:spacing w:val="-2"/>
          <w:sz w:val="24"/>
          <w:szCs w:val="24"/>
        </w:rPr>
      </w:pPr>
      <w:r w:rsidRPr="002C1BA2">
        <w:rPr>
          <w:rFonts w:ascii="Book Antiqua" w:hAnsi="Book Antiqua"/>
          <w:color w:val="000000" w:themeColor="text1"/>
          <w:spacing w:val="-2"/>
          <w:sz w:val="24"/>
          <w:szCs w:val="24"/>
        </w:rPr>
        <w:t xml:space="preserve">In </w:t>
      </w:r>
      <w:proofErr w:type="spellStart"/>
      <w:r w:rsidRPr="002C1BA2">
        <w:rPr>
          <w:rFonts w:ascii="Book Antiqua" w:hAnsi="Book Antiqua"/>
          <w:color w:val="000000" w:themeColor="text1"/>
          <w:spacing w:val="-2"/>
          <w:sz w:val="24"/>
          <w:szCs w:val="24"/>
        </w:rPr>
        <w:t>analyzing</w:t>
      </w:r>
      <w:proofErr w:type="spellEnd"/>
      <w:r w:rsidRPr="002C1BA2">
        <w:rPr>
          <w:rFonts w:ascii="Book Antiqua" w:hAnsi="Book Antiqua"/>
          <w:color w:val="000000" w:themeColor="text1"/>
          <w:spacing w:val="-2"/>
          <w:sz w:val="24"/>
          <w:szCs w:val="24"/>
        </w:rPr>
        <w:t xml:space="preserve"> the problems above, the author will use the theoretical framework of legal discovery and the theory of justice. In this study, the author does not discuss legal findings in general but only limits on legal findings by judges (</w:t>
      </w:r>
      <w:proofErr w:type="spellStart"/>
      <w:r w:rsidRPr="002C1BA2">
        <w:rPr>
          <w:rFonts w:ascii="Book Antiqua" w:hAnsi="Book Antiqua"/>
          <w:i/>
          <w:iCs/>
          <w:color w:val="000000" w:themeColor="text1"/>
          <w:spacing w:val="-2"/>
          <w:sz w:val="24"/>
          <w:szCs w:val="24"/>
        </w:rPr>
        <w:t>rechtsvinding</w:t>
      </w:r>
      <w:proofErr w:type="spellEnd"/>
      <w:r w:rsidRPr="002C1BA2">
        <w:rPr>
          <w:rFonts w:ascii="Book Antiqua" w:hAnsi="Book Antiqua"/>
          <w:color w:val="000000" w:themeColor="text1"/>
          <w:spacing w:val="-2"/>
          <w:sz w:val="24"/>
          <w:szCs w:val="24"/>
        </w:rPr>
        <w:t xml:space="preserve">). Paul Scholten states that the discovery of law by judges is something other than just the application of rules to events, sometimes and even very often it happens that the rules must be found, either by way of interpretation or by analogy or by </w:t>
      </w:r>
      <w:proofErr w:type="spellStart"/>
      <w:r w:rsidRPr="002C1BA2">
        <w:rPr>
          <w:rFonts w:ascii="Book Antiqua" w:hAnsi="Book Antiqua"/>
          <w:i/>
          <w:iCs/>
          <w:color w:val="000000" w:themeColor="text1"/>
          <w:spacing w:val="-2"/>
          <w:sz w:val="24"/>
          <w:szCs w:val="24"/>
        </w:rPr>
        <w:t>rechtssvervijning</w:t>
      </w:r>
      <w:proofErr w:type="spellEnd"/>
      <w:r w:rsidRPr="002C1BA2">
        <w:rPr>
          <w:rFonts w:ascii="Book Antiqua" w:hAnsi="Book Antiqua"/>
          <w:color w:val="000000" w:themeColor="text1"/>
          <w:spacing w:val="-2"/>
          <w:sz w:val="24"/>
          <w:szCs w:val="24"/>
        </w:rPr>
        <w:t xml:space="preserve"> (legal concrete)</w:t>
      </w:r>
      <w:r w:rsidRPr="002C1BA2">
        <w:rPr>
          <w:rFonts w:ascii="Book Antiqua" w:hAnsi="Book Antiqua" w:cs="Calibri"/>
          <w:color w:val="000000" w:themeColor="text1"/>
          <w:spacing w:val="-3"/>
          <w:sz w:val="24"/>
          <w:szCs w:val="24"/>
        </w:rPr>
        <w:fldChar w:fldCharType="begin" w:fldLock="1"/>
      </w:r>
      <w:r w:rsidRPr="002C1BA2">
        <w:rPr>
          <w:rFonts w:ascii="Book Antiqua" w:hAnsi="Book Antiqua" w:cs="Calibri"/>
          <w:color w:val="000000" w:themeColor="text1"/>
          <w:spacing w:val="-3"/>
          <w:sz w:val="24"/>
          <w:szCs w:val="24"/>
        </w:rPr>
        <w:instrText>ADDIN CSL_CITATION {"citationItems":[{"id":"ITEM-1","itemData":{"author":[{"dropping-particle":"","family":"N.E. Algra dan Van Duyendijk","given":"","non-dropping-particle":"","parse-names":false,"suffix":""}],"edition":"Bandung","id":"ITEM-1","issued":{"date-parts":[["1983"]]},"publisher":"Bina Cipta","title":"Mula Hukum, diterjemahkan oleh J.C.T. Simorangkir, dkk","type":"book"},"uris":["http://www.mendeley.com/documents/?uuid=33692e3d-aaf3-4f31-9e4c-63675916ec2b"]}],"mendeley":{"formattedCitation":"(N.E. Algra dan Van Duyendijk, 1983)","plainTextFormattedCitation":"(N.E. Algra dan Van Duyendijk, 1983)","previouslyFormattedCitation":"(N.E. Algra dan Van Duyendijk, 1983)"},"properties":{"noteIndex":0},"schema":"https://github.com/citation-style-language/schema/raw/master/csl-citation.json"}</w:instrText>
      </w:r>
      <w:r w:rsidRPr="002C1BA2">
        <w:rPr>
          <w:rFonts w:ascii="Book Antiqua" w:hAnsi="Book Antiqua" w:cs="Calibri"/>
          <w:color w:val="000000" w:themeColor="text1"/>
          <w:spacing w:val="-3"/>
          <w:sz w:val="24"/>
          <w:szCs w:val="24"/>
        </w:rPr>
        <w:fldChar w:fldCharType="separate"/>
      </w:r>
      <w:r w:rsidRPr="002C1BA2">
        <w:rPr>
          <w:rFonts w:ascii="Book Antiqua" w:hAnsi="Book Antiqua" w:cs="Calibri"/>
          <w:noProof/>
          <w:color w:val="000000" w:themeColor="text1"/>
          <w:spacing w:val="-3"/>
          <w:sz w:val="24"/>
          <w:szCs w:val="24"/>
        </w:rPr>
        <w:t>(N.E. Algra dan Van Duyendijk, 1983)</w:t>
      </w:r>
      <w:r w:rsidRPr="002C1BA2">
        <w:rPr>
          <w:rFonts w:ascii="Book Antiqua" w:hAnsi="Book Antiqua" w:cs="Calibri"/>
          <w:color w:val="000000" w:themeColor="text1"/>
          <w:spacing w:val="-3"/>
          <w:sz w:val="24"/>
          <w:szCs w:val="24"/>
        </w:rPr>
        <w:fldChar w:fldCharType="end"/>
      </w:r>
      <w:r w:rsidRPr="002C1BA2">
        <w:rPr>
          <w:rFonts w:ascii="Book Antiqua" w:hAnsi="Book Antiqua"/>
          <w:color w:val="000000" w:themeColor="text1"/>
          <w:spacing w:val="-2"/>
          <w:sz w:val="24"/>
          <w:szCs w:val="24"/>
        </w:rPr>
        <w:t xml:space="preserve">. </w:t>
      </w:r>
      <w:r w:rsidRPr="002C1BA2">
        <w:rPr>
          <w:rFonts w:ascii="Book Antiqua" w:hAnsi="Book Antiqua"/>
          <w:color w:val="000000" w:themeColor="text1"/>
          <w:spacing w:val="1"/>
          <w:sz w:val="24"/>
          <w:szCs w:val="24"/>
        </w:rPr>
        <w:t xml:space="preserve">This theory is used to </w:t>
      </w:r>
      <w:proofErr w:type="spellStart"/>
      <w:r w:rsidRPr="002C1BA2">
        <w:rPr>
          <w:rFonts w:ascii="Book Antiqua" w:hAnsi="Book Antiqua"/>
          <w:color w:val="000000" w:themeColor="text1"/>
          <w:spacing w:val="1"/>
          <w:sz w:val="24"/>
          <w:szCs w:val="24"/>
        </w:rPr>
        <w:t>analyze</w:t>
      </w:r>
      <w:proofErr w:type="spellEnd"/>
      <w:r w:rsidRPr="002C1BA2">
        <w:rPr>
          <w:rFonts w:ascii="Book Antiqua" w:hAnsi="Book Antiqua"/>
          <w:color w:val="000000" w:themeColor="text1"/>
          <w:spacing w:val="1"/>
          <w:sz w:val="24"/>
          <w:szCs w:val="24"/>
        </w:rPr>
        <w:t xml:space="preserve"> the legal discovery arguments contained in the decision on the dispute over the execution of guarantees in the financing of </w:t>
      </w:r>
      <w:proofErr w:type="spellStart"/>
      <w:r w:rsidRPr="002C1BA2">
        <w:rPr>
          <w:rFonts w:ascii="Book Antiqua" w:hAnsi="Book Antiqua"/>
          <w:color w:val="000000" w:themeColor="text1"/>
          <w:spacing w:val="1"/>
          <w:sz w:val="24"/>
          <w:szCs w:val="24"/>
        </w:rPr>
        <w:t>musyarakah</w:t>
      </w:r>
      <w:proofErr w:type="spellEnd"/>
      <w:r w:rsidRPr="002C1BA2">
        <w:rPr>
          <w:rFonts w:ascii="Book Antiqua" w:hAnsi="Book Antiqua"/>
          <w:color w:val="000000" w:themeColor="text1"/>
          <w:spacing w:val="1"/>
          <w:sz w:val="24"/>
          <w:szCs w:val="24"/>
        </w:rPr>
        <w:t>, which are problematic because of the discrepancy between the expected conditions (</w:t>
      </w:r>
      <w:r w:rsidRPr="002C1BA2">
        <w:rPr>
          <w:rFonts w:ascii="Book Antiqua" w:hAnsi="Book Antiqua"/>
          <w:i/>
          <w:iCs/>
          <w:color w:val="000000" w:themeColor="text1"/>
          <w:spacing w:val="1"/>
          <w:sz w:val="24"/>
          <w:szCs w:val="24"/>
        </w:rPr>
        <w:t xml:space="preserve">das </w:t>
      </w:r>
      <w:proofErr w:type="spellStart"/>
      <w:r w:rsidRPr="002C1BA2">
        <w:rPr>
          <w:rFonts w:ascii="Book Antiqua" w:hAnsi="Book Antiqua"/>
          <w:i/>
          <w:iCs/>
          <w:color w:val="000000" w:themeColor="text1"/>
          <w:spacing w:val="1"/>
          <w:sz w:val="24"/>
          <w:szCs w:val="24"/>
        </w:rPr>
        <w:t>sollen</w:t>
      </w:r>
      <w:proofErr w:type="spellEnd"/>
      <w:r w:rsidRPr="002C1BA2">
        <w:rPr>
          <w:rFonts w:ascii="Book Antiqua" w:hAnsi="Book Antiqua"/>
          <w:color w:val="000000" w:themeColor="text1"/>
          <w:spacing w:val="1"/>
          <w:sz w:val="24"/>
          <w:szCs w:val="24"/>
        </w:rPr>
        <w:t>) and the reality (</w:t>
      </w:r>
      <w:r w:rsidRPr="002C1BA2">
        <w:rPr>
          <w:rFonts w:ascii="Book Antiqua" w:hAnsi="Book Antiqua"/>
          <w:i/>
          <w:iCs/>
          <w:color w:val="000000" w:themeColor="text1"/>
          <w:spacing w:val="1"/>
          <w:sz w:val="24"/>
          <w:szCs w:val="24"/>
        </w:rPr>
        <w:t>das sein</w:t>
      </w:r>
      <w:r w:rsidRPr="002C1BA2">
        <w:rPr>
          <w:rFonts w:ascii="Book Antiqua" w:hAnsi="Book Antiqua"/>
          <w:color w:val="000000" w:themeColor="text1"/>
          <w:spacing w:val="1"/>
          <w:sz w:val="24"/>
          <w:szCs w:val="24"/>
        </w:rPr>
        <w:t xml:space="preserve">), namely the inadequate regulation that regulates the negligent criteria that are the conditions for confiscation. and the execution of guarantees in the financing of </w:t>
      </w:r>
      <w:proofErr w:type="spellStart"/>
      <w:r w:rsidRPr="002C1BA2">
        <w:rPr>
          <w:rFonts w:ascii="Book Antiqua" w:hAnsi="Book Antiqua"/>
          <w:color w:val="000000" w:themeColor="text1"/>
          <w:spacing w:val="1"/>
          <w:sz w:val="24"/>
          <w:szCs w:val="24"/>
        </w:rPr>
        <w:t>musyarakah</w:t>
      </w:r>
      <w:proofErr w:type="spellEnd"/>
      <w:r w:rsidRPr="002C1BA2">
        <w:rPr>
          <w:rFonts w:ascii="Book Antiqua" w:hAnsi="Book Antiqua"/>
          <w:color w:val="000000" w:themeColor="text1"/>
          <w:spacing w:val="1"/>
          <w:sz w:val="24"/>
          <w:szCs w:val="24"/>
        </w:rPr>
        <w:t xml:space="preserve"> is problematic, thus pushing judges out of the confines of the formal legal system to explore or formulate arguments in the form of legal considerations and reasoning in decisions. This is the urgency of using the theory of legal discovery. </w:t>
      </w:r>
      <w:r w:rsidRPr="002C1BA2">
        <w:rPr>
          <w:rFonts w:ascii="Book Antiqua" w:hAnsi="Book Antiqua"/>
          <w:color w:val="000000" w:themeColor="text1"/>
          <w:sz w:val="24"/>
          <w:szCs w:val="24"/>
        </w:rPr>
        <w:t xml:space="preserve">Meanwhile, the urgency of the theory of justice is to measure whether the legal findings by judges have reflected the principles of justice or not. Because a decision will be considered good if it is able to provide a sense of justice for the disputing parties. The theory of justice in this dissertation is based on the view of John Rawls which states that the main virtue in social institutions is justice, as is truth in the system of thought. A theory, however elegant and economical, must be rejected or revised if it is not correct, so laws or institutions that are not concerned with justice must be reformed if they are unjust </w:t>
      </w:r>
      <w:r w:rsidRPr="002C1BA2">
        <w:rPr>
          <w:rFonts w:ascii="Book Antiqua" w:hAnsi="Book Antiqua"/>
          <w:color w:val="000000" w:themeColor="text1"/>
          <w:sz w:val="24"/>
          <w:szCs w:val="24"/>
        </w:rPr>
        <w:fldChar w:fldCharType="begin" w:fldLock="1"/>
      </w:r>
      <w:r w:rsidRPr="002C1BA2">
        <w:rPr>
          <w:rFonts w:ascii="Book Antiqua" w:hAnsi="Book Antiqua"/>
          <w:color w:val="000000" w:themeColor="text1"/>
          <w:sz w:val="24"/>
          <w:szCs w:val="24"/>
        </w:rPr>
        <w:instrText>ADDIN CSL_CITATION {"citationItems":[{"id":"ITEM-1","itemData":{"author":[{"dropping-particle":"","family":"John Rawls","given":"","non-dropping-particle":"","parse-names":false,"suffix":""}],"id":"ITEM-1","issued":{"date-parts":[["1973"]]},"publisher":"Oxford University","publisher-place":"London","title":"A Theory of Juctice","type":"book"},"uris":["http://www.mendeley.com/documents/?uuid=654741c2-bf20-4233-8dee-cb0f461a53c9"]}],"mendeley":{"formattedCitation":"(John Rawls, 1973)","plainTextFormattedCitation":"(John Rawls, 1973)","previouslyFormattedCitation":"(John Rawls, 1973)"},"properties":{"noteIndex":0},"schema":"https://github.com/citation-style-language/schema/raw/master/csl-citation.json"}</w:instrText>
      </w:r>
      <w:r w:rsidRPr="002C1BA2">
        <w:rPr>
          <w:rFonts w:ascii="Book Antiqua" w:hAnsi="Book Antiqua"/>
          <w:color w:val="000000" w:themeColor="text1"/>
          <w:sz w:val="24"/>
          <w:szCs w:val="24"/>
        </w:rPr>
        <w:fldChar w:fldCharType="separate"/>
      </w:r>
      <w:r w:rsidRPr="002C1BA2">
        <w:rPr>
          <w:rFonts w:ascii="Book Antiqua" w:hAnsi="Book Antiqua"/>
          <w:noProof/>
          <w:color w:val="000000" w:themeColor="text1"/>
          <w:sz w:val="24"/>
          <w:szCs w:val="24"/>
        </w:rPr>
        <w:t>(John Rawls, 1973)</w:t>
      </w:r>
      <w:r w:rsidRPr="002C1BA2">
        <w:rPr>
          <w:rFonts w:ascii="Book Antiqua" w:hAnsi="Book Antiqua"/>
          <w:color w:val="000000" w:themeColor="text1"/>
          <w:sz w:val="24"/>
          <w:szCs w:val="24"/>
        </w:rPr>
        <w:fldChar w:fldCharType="end"/>
      </w:r>
      <w:r w:rsidRPr="002C1BA2">
        <w:rPr>
          <w:rFonts w:ascii="Book Antiqua" w:hAnsi="Book Antiqua"/>
          <w:color w:val="000000" w:themeColor="text1"/>
          <w:sz w:val="24"/>
          <w:szCs w:val="24"/>
        </w:rPr>
        <w:t xml:space="preserve">. Then, the legal literature introduces the terms </w:t>
      </w:r>
      <w:r w:rsidRPr="002C1BA2">
        <w:rPr>
          <w:rFonts w:ascii="Book Antiqua" w:hAnsi="Book Antiqua"/>
          <w:i/>
          <w:iCs/>
          <w:color w:val="000000" w:themeColor="text1"/>
          <w:sz w:val="24"/>
          <w:szCs w:val="24"/>
        </w:rPr>
        <w:t>legal justice, moral justice</w:t>
      </w:r>
      <w:r w:rsidRPr="002C1BA2">
        <w:rPr>
          <w:rFonts w:ascii="Book Antiqua" w:hAnsi="Book Antiqua"/>
          <w:color w:val="000000" w:themeColor="text1"/>
          <w:sz w:val="24"/>
          <w:szCs w:val="24"/>
        </w:rPr>
        <w:t xml:space="preserve">, and </w:t>
      </w:r>
      <w:r w:rsidRPr="002C1BA2">
        <w:rPr>
          <w:rFonts w:ascii="Book Antiqua" w:hAnsi="Book Antiqua"/>
          <w:i/>
          <w:iCs/>
          <w:color w:val="000000" w:themeColor="text1"/>
          <w:sz w:val="24"/>
          <w:szCs w:val="24"/>
        </w:rPr>
        <w:t>social justice</w:t>
      </w:r>
      <w:r w:rsidRPr="002C1BA2">
        <w:rPr>
          <w:rFonts w:ascii="Book Antiqua" w:hAnsi="Book Antiqua"/>
          <w:color w:val="000000" w:themeColor="text1"/>
          <w:sz w:val="24"/>
          <w:szCs w:val="24"/>
        </w:rPr>
        <w:t xml:space="preserve">. Legal justice can be seen from the applicable laws and regulations and from the judge's decision which reflects the legal justice of the state in a formal form. Whether or not a statutory regulation or judge's decision is fair is largely determined by the representation of </w:t>
      </w:r>
      <w:r w:rsidRPr="002C1BA2">
        <w:rPr>
          <w:rFonts w:ascii="Book Antiqua" w:hAnsi="Book Antiqua"/>
          <w:i/>
          <w:iCs/>
          <w:color w:val="000000" w:themeColor="text1"/>
          <w:sz w:val="24"/>
          <w:szCs w:val="24"/>
        </w:rPr>
        <w:t>moral justice</w:t>
      </w:r>
      <w:r w:rsidRPr="002C1BA2">
        <w:rPr>
          <w:rFonts w:ascii="Book Antiqua" w:hAnsi="Book Antiqua"/>
          <w:color w:val="000000" w:themeColor="text1"/>
          <w:sz w:val="24"/>
          <w:szCs w:val="24"/>
        </w:rPr>
        <w:t xml:space="preserve"> and </w:t>
      </w:r>
      <w:r w:rsidRPr="002C1BA2">
        <w:rPr>
          <w:rFonts w:ascii="Book Antiqua" w:hAnsi="Book Antiqua"/>
          <w:i/>
          <w:iCs/>
          <w:color w:val="000000" w:themeColor="text1"/>
          <w:sz w:val="24"/>
          <w:szCs w:val="24"/>
        </w:rPr>
        <w:t>social justice</w:t>
      </w:r>
      <w:r w:rsidRPr="002C1BA2">
        <w:rPr>
          <w:rFonts w:ascii="Book Antiqua" w:hAnsi="Book Antiqua"/>
          <w:color w:val="000000" w:themeColor="text1"/>
          <w:sz w:val="24"/>
          <w:szCs w:val="24"/>
        </w:rPr>
        <w:t xml:space="preserve"> in it. At this point, judges are often faced with two difficult choices between prioritizing legal justice with moral justice and social justice. There comes a time when accepting the facts contained in the trial must ignore legal justice to achieve moral justice and social justice. The textuality of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contract will be ignored in order to obtain justice for the owner of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guarantee. For judges, the opportunity to find the law because the law has not accommodated moral justice and social justice is still very open. This </w:t>
      </w:r>
      <w:r w:rsidRPr="002C1BA2">
        <w:rPr>
          <w:rFonts w:ascii="Book Antiqua" w:hAnsi="Book Antiqua"/>
          <w:color w:val="000000" w:themeColor="text1"/>
          <w:sz w:val="24"/>
          <w:szCs w:val="24"/>
        </w:rPr>
        <w:lastRenderedPageBreak/>
        <w:t>is where the correlation between the theory of justice and the theory of legal discovery "goes hand in hand" to reach a fair decision.</w:t>
      </w:r>
    </w:p>
    <w:p w14:paraId="29226763" w14:textId="77777777" w:rsidR="002C1BA2" w:rsidRPr="002C1BA2" w:rsidRDefault="002C1BA2" w:rsidP="002C1BA2">
      <w:pPr>
        <w:pStyle w:val="ListParagraph"/>
        <w:spacing w:line="240" w:lineRule="auto"/>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To complete this research, the author uses a normative juridical method with a statute approach and a conceptual approach. The primary, secondary, tertiary legal materials obtained by the author will be </w:t>
      </w:r>
      <w:proofErr w:type="spellStart"/>
      <w:r w:rsidRPr="002C1BA2">
        <w:rPr>
          <w:rFonts w:ascii="Book Antiqua" w:hAnsi="Book Antiqua"/>
          <w:color w:val="000000" w:themeColor="text1"/>
          <w:sz w:val="24"/>
          <w:szCs w:val="24"/>
        </w:rPr>
        <w:t>analyzed</w:t>
      </w:r>
      <w:proofErr w:type="spellEnd"/>
      <w:r w:rsidRPr="002C1BA2">
        <w:rPr>
          <w:rFonts w:ascii="Book Antiqua" w:hAnsi="Book Antiqua"/>
          <w:color w:val="000000" w:themeColor="text1"/>
          <w:sz w:val="24"/>
          <w:szCs w:val="24"/>
        </w:rPr>
        <w:t xml:space="preserve"> using the techniques of Grammatical Interpretation, Theological Interpretation, and Systematic Interpretation.</w:t>
      </w:r>
    </w:p>
    <w:p w14:paraId="3B66F2D4" w14:textId="27E51436" w:rsidR="002C1BA2" w:rsidRPr="002C1BA2" w:rsidRDefault="002C1BA2" w:rsidP="002C1BA2">
      <w:pPr>
        <w:pStyle w:val="ListParagraph"/>
        <w:spacing w:after="0" w:line="240" w:lineRule="auto"/>
        <w:jc w:val="both"/>
        <w:rPr>
          <w:rFonts w:ascii="Book Antiqua" w:hAnsi="Book Antiqua"/>
          <w:b/>
          <w:bCs/>
          <w:sz w:val="24"/>
          <w:szCs w:val="24"/>
          <w:lang w:val="id-ID"/>
        </w:rPr>
      </w:pPr>
      <w:r w:rsidRPr="002C1BA2">
        <w:rPr>
          <w:rFonts w:ascii="Book Antiqua" w:hAnsi="Book Antiqua"/>
          <w:color w:val="000000" w:themeColor="text1"/>
          <w:sz w:val="24"/>
          <w:szCs w:val="24"/>
        </w:rPr>
        <w:t xml:space="preserve">This paper begins with a discussion of the conception of errors and omissions in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according to Islamic jurisprudence, followed by a section that discusses three religious court decisions, </w:t>
      </w:r>
      <w:proofErr w:type="spellStart"/>
      <w:r w:rsidRPr="002C1BA2">
        <w:rPr>
          <w:rFonts w:ascii="Book Antiqua" w:hAnsi="Book Antiqua"/>
          <w:color w:val="000000" w:themeColor="text1"/>
          <w:sz w:val="24"/>
          <w:szCs w:val="24"/>
        </w:rPr>
        <w:t>analyzes</w:t>
      </w:r>
      <w:proofErr w:type="spellEnd"/>
      <w:r w:rsidRPr="002C1BA2">
        <w:rPr>
          <w:rFonts w:ascii="Book Antiqua" w:hAnsi="Book Antiqua"/>
          <w:color w:val="000000" w:themeColor="text1"/>
          <w:sz w:val="24"/>
          <w:szCs w:val="24"/>
        </w:rPr>
        <w:t xml:space="preserve"> the legal considerations used by judges in handling cases of problematic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guarantee disputes and maps the typology of legal considerations and their impact on rights of customer rights</w:t>
      </w:r>
    </w:p>
    <w:p w14:paraId="6638B578" w14:textId="1610E8B2" w:rsidR="0077318C" w:rsidRDefault="00882EA9" w:rsidP="00882EA9">
      <w:pPr>
        <w:spacing w:after="240"/>
        <w:ind w:left="-142"/>
        <w:jc w:val="both"/>
        <w:rPr>
          <w:rFonts w:ascii="Book Antiqua" w:hAnsi="Book Antiqua"/>
          <w:b/>
          <w:bCs/>
          <w:sz w:val="24"/>
          <w:szCs w:val="24"/>
          <w:lang w:val="id-ID"/>
        </w:rPr>
      </w:pPr>
      <w:r w:rsidRPr="00B56D4F">
        <w:rPr>
          <w:rFonts w:ascii="Book Antiqua" w:hAnsi="Book Antiqua"/>
          <w:b/>
          <w:bCs/>
          <w:sz w:val="24"/>
          <w:szCs w:val="24"/>
          <w:lang w:val="id-ID"/>
        </w:rPr>
        <w:t xml:space="preserve">2. </w:t>
      </w:r>
      <w:r w:rsidR="006D1334" w:rsidRPr="00B56D4F">
        <w:rPr>
          <w:rFonts w:ascii="Book Antiqua" w:hAnsi="Book Antiqua"/>
          <w:b/>
          <w:bCs/>
          <w:sz w:val="24"/>
          <w:szCs w:val="24"/>
          <w:lang w:val="id-ID"/>
        </w:rPr>
        <w:t>Research Method</w:t>
      </w:r>
    </w:p>
    <w:p w14:paraId="72FC561F" w14:textId="77777777" w:rsidR="002C1BA2" w:rsidRPr="002C1BA2" w:rsidRDefault="002C1BA2" w:rsidP="002C1BA2">
      <w:pPr>
        <w:ind w:firstLine="720"/>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This type of research is included in a variety of research with a normative juridical study pattern. The choice of this type is because this dissertation lays down the law as a building system of norms, in the form of principles, norms, and rules of laws and regulations, court decisions, agreements, and doctrines </w:t>
      </w:r>
      <w:r w:rsidRPr="002C1BA2">
        <w:rPr>
          <w:rFonts w:ascii="Book Antiqua" w:hAnsi="Book Antiqua"/>
          <w:color w:val="000000" w:themeColor="text1"/>
          <w:sz w:val="24"/>
          <w:szCs w:val="24"/>
        </w:rPr>
        <w:fldChar w:fldCharType="begin" w:fldLock="1"/>
      </w:r>
      <w:r w:rsidRPr="002C1BA2">
        <w:rPr>
          <w:rFonts w:ascii="Book Antiqua" w:hAnsi="Book Antiqua"/>
          <w:color w:val="000000" w:themeColor="text1"/>
          <w:sz w:val="24"/>
          <w:szCs w:val="24"/>
        </w:rPr>
        <w:instrText>ADDIN CSL_CITATION {"citationItems":[{"id":"ITEM-1","itemData":{"ISBN":"9786020895727","author":[{"dropping-particle":"","family":"Diantha","given":"I Made Pasek","non-dropping-particle":"","parse-names":false,"suffix":""}],"id":"ITEM-1","issued":{"date-parts":[["2016"]]},"publisher":"Prenada Media","title":"Metodologi Penelitian Hukum Normatif dalam Justifikasi Teori Hukum","type":"book"},"uris":["http://www.mendeley.com/documents/?uuid=6c3215dd-d5cd-4b77-9ffb-46efdff82512"]}],"mendeley":{"formattedCitation":"(Diantha, 2016)","plainTextFormattedCitation":"(Diantha, 2016)","previouslyFormattedCitation":"(Diantha, 2016)"},"properties":{"noteIndex":0},"schema":"https://github.com/citation-style-language/schema/raw/master/csl-citation.json"}</w:instrText>
      </w:r>
      <w:r w:rsidRPr="002C1BA2">
        <w:rPr>
          <w:rFonts w:ascii="Book Antiqua" w:hAnsi="Book Antiqua"/>
          <w:color w:val="000000" w:themeColor="text1"/>
          <w:sz w:val="24"/>
          <w:szCs w:val="24"/>
        </w:rPr>
        <w:fldChar w:fldCharType="separate"/>
      </w:r>
      <w:r w:rsidRPr="002C1BA2">
        <w:rPr>
          <w:rFonts w:ascii="Book Antiqua" w:hAnsi="Book Antiqua"/>
          <w:noProof/>
          <w:color w:val="000000" w:themeColor="text1"/>
          <w:sz w:val="24"/>
          <w:szCs w:val="24"/>
        </w:rPr>
        <w:t>(Diantha, 2016)</w:t>
      </w:r>
      <w:r w:rsidRPr="002C1BA2">
        <w:rPr>
          <w:rFonts w:ascii="Book Antiqua" w:hAnsi="Book Antiqua"/>
          <w:color w:val="000000" w:themeColor="text1"/>
          <w:sz w:val="24"/>
          <w:szCs w:val="24"/>
        </w:rPr>
        <w:fldChar w:fldCharType="end"/>
      </w:r>
      <w:r w:rsidRPr="002C1BA2">
        <w:rPr>
          <w:rFonts w:ascii="Book Antiqua" w:hAnsi="Book Antiqua"/>
          <w:color w:val="000000" w:themeColor="text1"/>
          <w:sz w:val="24"/>
          <w:szCs w:val="24"/>
        </w:rPr>
        <w:t xml:space="preserve">. In connection with the interests of this paper, the author uses a case approach </w:t>
      </w:r>
      <w:r w:rsidRPr="002C1BA2">
        <w:rPr>
          <w:rFonts w:ascii="Book Antiqua" w:hAnsi="Book Antiqua" w:cs="Calibri"/>
          <w:color w:val="000000" w:themeColor="text1"/>
          <w:sz w:val="24"/>
          <w:szCs w:val="24"/>
        </w:rPr>
        <w:fldChar w:fldCharType="begin" w:fldLock="1"/>
      </w:r>
      <w:r w:rsidRPr="002C1BA2">
        <w:rPr>
          <w:rFonts w:ascii="Book Antiqua" w:hAnsi="Book Antiqua" w:cs="Calibri"/>
          <w:color w:val="000000" w:themeColor="text1"/>
          <w:sz w:val="24"/>
          <w:szCs w:val="24"/>
        </w:rPr>
        <w:instrText>ADDIN CSL_CITATION {"citationItems":[{"id":"ITEM-1","itemData":{"ISBN":"9786020895659","author":[{"dropping-particle":"","family":"Dr. Jonaedi Efendi","given":"S.H.I.M.H.","non-dropping-particle":"","parse-names":false,"suffix":""},{"dropping-particle":"","family":"Prof. Dr. Johnny Ibrahim","given":"S.H.S.E.M.M.M.H.","non-dropping-particle":"","parse-names":false,"suffix":""}],"id":"ITEM-1","issued":{"date-parts":[["2018"]]},"publisher":"Prenada Media","title":"Metode Penelitian Hukum: Normatif dan Empiris","type":"book"},"uris":["http://www.mendeley.com/documents/?uuid=7df71314-fbf4-47df-9c07-33f7cfe08d2f"]}],"mendeley":{"formattedCitation":"(Dr. Jonaedi Efendi &amp; Prof. Dr. Johnny Ibrahim, 2018)","plainTextFormattedCitation":"(Dr. Jonaedi Efendi &amp; Prof. Dr. Johnny Ibrahim, 2018)","previouslyFormattedCitation":"(Dr. Jonaedi Efendi &amp; Prof. Dr. Johnny Ibrahim, 2018)"},"properties":{"noteIndex":0},"schema":"https://github.com/citation-style-language/schema/raw/master/csl-citation.json"}</w:instrText>
      </w:r>
      <w:r w:rsidRPr="002C1BA2">
        <w:rPr>
          <w:rFonts w:ascii="Book Antiqua" w:hAnsi="Book Antiqua" w:cs="Calibri"/>
          <w:color w:val="000000" w:themeColor="text1"/>
          <w:sz w:val="24"/>
          <w:szCs w:val="24"/>
        </w:rPr>
        <w:fldChar w:fldCharType="separate"/>
      </w:r>
      <w:r w:rsidRPr="002C1BA2">
        <w:rPr>
          <w:rFonts w:ascii="Book Antiqua" w:hAnsi="Book Antiqua" w:cs="Calibri"/>
          <w:noProof/>
          <w:color w:val="000000" w:themeColor="text1"/>
          <w:sz w:val="24"/>
          <w:szCs w:val="24"/>
        </w:rPr>
        <w:t>(Dr. Jonaedi Efendi &amp; Prof. Dr. Johnny Ibrahim, 2018)</w:t>
      </w:r>
      <w:r w:rsidRPr="002C1BA2">
        <w:rPr>
          <w:rFonts w:ascii="Book Antiqua" w:hAnsi="Book Antiqua" w:cs="Calibri"/>
          <w:color w:val="000000" w:themeColor="text1"/>
          <w:sz w:val="24"/>
          <w:szCs w:val="24"/>
        </w:rPr>
        <w:fldChar w:fldCharType="end"/>
      </w:r>
      <w:r w:rsidRPr="002C1BA2">
        <w:rPr>
          <w:rFonts w:ascii="Book Antiqua" w:hAnsi="Book Antiqua"/>
          <w:color w:val="000000" w:themeColor="text1"/>
          <w:sz w:val="24"/>
          <w:szCs w:val="24"/>
        </w:rPr>
        <w:t xml:space="preserve">. The case approach is used to examine, explore, and examine judges' decisions </w:t>
      </w:r>
      <w:r w:rsidRPr="002C1BA2">
        <w:rPr>
          <w:rFonts w:ascii="Book Antiqua" w:hAnsi="Book Antiqua"/>
          <w:color w:val="000000" w:themeColor="text1"/>
          <w:sz w:val="24"/>
          <w:szCs w:val="24"/>
        </w:rPr>
        <w:fldChar w:fldCharType="begin" w:fldLock="1"/>
      </w:r>
      <w:r w:rsidRPr="002C1BA2">
        <w:rPr>
          <w:rFonts w:ascii="Book Antiqua" w:hAnsi="Book Antiqua"/>
          <w:color w:val="000000" w:themeColor="text1"/>
          <w:sz w:val="24"/>
          <w:szCs w:val="24"/>
        </w:rPr>
        <w:instrText>ADDIN CSL_CITATION {"citationItems":[{"id":"ITEM-1","itemData":{"ISBN":"9786025522055","author":[{"dropping-particle":"","family":"Qamar","given":"N","non-dropping-particle":"","parse-names":false,"suffix":""},{"dropping-particle":"","family":"Syarif","given":"M","non-dropping-particle":"","parse-names":false,"suffix":""},{"dropping-particle":"","family":"Busthami","given":"D S","non-dropping-particle":"","parse-names":false,"suffix":""},{"dropping-particle":"","family":"Hidjaz","given":"M K","non-dropping-particle":"","parse-names":false,"suffix":""},{"dropping-particle":"","family":"Aswari","given":"A","non-dropping-particle":"","parse-names":false,"suffix":""},{"dropping-particle":"","family":"Djanggih","given":"H","non-dropping-particle":"","parse-names":false,"suffix":""},{"dropping-particle":"","family":"Rezah","given":"F S","non-dropping-particle":"","parse-names":false,"suffix":""}],"id":"ITEM-1","issued":{"date-parts":[["2017"]]},"publisher":"CV. Social Politic Genius (SIGn)","title":"Metode Penelitian Hukum (Legal Research Methods)","type":"book"},"uris":["http://www.mendeley.com/documents/?uuid=8554dee3-5fb8-4d6b-8664-069f0db46e76"]}],"mendeley":{"formattedCitation":"(Qamar et al., 2017)","plainTextFormattedCitation":"(Qamar et al., 2017)","previouslyFormattedCitation":"(Qamar et al., 2017)"},"properties":{"noteIndex":0},"schema":"https://github.com/citation-style-language/schema/raw/master/csl-citation.json"}</w:instrText>
      </w:r>
      <w:r w:rsidRPr="002C1BA2">
        <w:rPr>
          <w:rFonts w:ascii="Book Antiqua" w:hAnsi="Book Antiqua"/>
          <w:color w:val="000000" w:themeColor="text1"/>
          <w:sz w:val="24"/>
          <w:szCs w:val="24"/>
        </w:rPr>
        <w:fldChar w:fldCharType="separate"/>
      </w:r>
      <w:r w:rsidRPr="002C1BA2">
        <w:rPr>
          <w:rFonts w:ascii="Book Antiqua" w:hAnsi="Book Antiqua"/>
          <w:noProof/>
          <w:color w:val="000000" w:themeColor="text1"/>
          <w:sz w:val="24"/>
          <w:szCs w:val="24"/>
        </w:rPr>
        <w:t>(Qamar et al., 2017)</w:t>
      </w:r>
      <w:r w:rsidRPr="002C1BA2">
        <w:rPr>
          <w:rFonts w:ascii="Book Antiqua" w:hAnsi="Book Antiqua"/>
          <w:color w:val="000000" w:themeColor="text1"/>
          <w:sz w:val="24"/>
          <w:szCs w:val="24"/>
        </w:rPr>
        <w:fldChar w:fldCharType="end"/>
      </w:r>
      <w:r w:rsidRPr="002C1BA2">
        <w:rPr>
          <w:rFonts w:ascii="Book Antiqua" w:hAnsi="Book Antiqua"/>
          <w:color w:val="000000" w:themeColor="text1"/>
          <w:sz w:val="24"/>
          <w:szCs w:val="24"/>
        </w:rPr>
        <w:t xml:space="preserve"> in cases of disputed executions of guarantees in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w:t>
      </w:r>
    </w:p>
    <w:p w14:paraId="5580D381" w14:textId="77777777" w:rsidR="002C1BA2" w:rsidRPr="002C1BA2" w:rsidRDefault="002C1BA2" w:rsidP="002C1BA2">
      <w:pPr>
        <w:ind w:firstLine="720"/>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Based on the problems and approaches above, the steps in this research include determining legal materials, namely decisions within the religious courts in the issue of guarantee execution disputes in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After obtaining the data, it is then analyzed using a qualitative juridical analysis method </w:t>
      </w:r>
      <w:r w:rsidRPr="002C1BA2">
        <w:rPr>
          <w:rFonts w:ascii="Book Antiqua" w:hAnsi="Book Antiqua"/>
          <w:color w:val="000000" w:themeColor="text1"/>
          <w:sz w:val="24"/>
          <w:szCs w:val="24"/>
        </w:rPr>
        <w:fldChar w:fldCharType="begin" w:fldLock="1"/>
      </w:r>
      <w:r w:rsidRPr="002C1BA2">
        <w:rPr>
          <w:rFonts w:ascii="Book Antiqua" w:hAnsi="Book Antiqua"/>
          <w:color w:val="000000" w:themeColor="text1"/>
          <w:sz w:val="24"/>
          <w:szCs w:val="24"/>
        </w:rPr>
        <w:instrText>ADDIN CSL_CITATION {"citationItems":[{"id":"ITEM-1","itemData":{"ISBN":"9789790072855","author":[{"dropping-particle":"","family":"Ali","given":"Z","non-dropping-particle":"","parse-names":false,"suffix":""}],"id":"ITEM-1","issued":{"date-parts":[["2021"]]},"publisher":"Sinar Grafika","title":"Metode Penelitian Hukum","type":"book"},"uris":["http://www.mendeley.com/documents/?uuid=21d4646d-92cb-477d-8e79-5c139490ca07"]}],"mendeley":{"formattedCitation":"(Ali, 2021)","plainTextFormattedCitation":"(Ali, 2021)"},"properties":{"noteIndex":0},"schema":"https://github.com/citation-style-language/schema/raw/master/csl-citation.json"}</w:instrText>
      </w:r>
      <w:r w:rsidRPr="002C1BA2">
        <w:rPr>
          <w:rFonts w:ascii="Book Antiqua" w:hAnsi="Book Antiqua"/>
          <w:color w:val="000000" w:themeColor="text1"/>
          <w:sz w:val="24"/>
          <w:szCs w:val="24"/>
        </w:rPr>
        <w:fldChar w:fldCharType="separate"/>
      </w:r>
      <w:r w:rsidRPr="002C1BA2">
        <w:rPr>
          <w:rFonts w:ascii="Book Antiqua" w:hAnsi="Book Antiqua"/>
          <w:noProof/>
          <w:color w:val="000000" w:themeColor="text1"/>
          <w:sz w:val="24"/>
          <w:szCs w:val="24"/>
        </w:rPr>
        <w:t>(Ali, 2021)</w:t>
      </w:r>
      <w:r w:rsidRPr="002C1BA2">
        <w:rPr>
          <w:rFonts w:ascii="Book Antiqua" w:hAnsi="Book Antiqua"/>
          <w:color w:val="000000" w:themeColor="text1"/>
          <w:sz w:val="24"/>
          <w:szCs w:val="24"/>
        </w:rPr>
        <w:fldChar w:fldCharType="end"/>
      </w:r>
      <w:r w:rsidRPr="002C1BA2">
        <w:rPr>
          <w:rFonts w:ascii="Book Antiqua" w:hAnsi="Book Antiqua"/>
          <w:color w:val="000000" w:themeColor="text1"/>
          <w:sz w:val="24"/>
          <w:szCs w:val="24"/>
        </w:rPr>
        <w:t xml:space="preserve">, namely after the data is obtained, it is described using sentences systematically and concluded by means of deductive thinking so that it becomes a general picture that narrows to a specific picture to be able to answer problems based on research results.  </w:t>
      </w:r>
    </w:p>
    <w:p w14:paraId="21BBBA6D" w14:textId="77777777" w:rsidR="002C1BA2" w:rsidRPr="002C1BA2" w:rsidRDefault="002C1BA2" w:rsidP="002C1BA2">
      <w:pPr>
        <w:spacing w:after="240"/>
        <w:ind w:left="-142"/>
        <w:jc w:val="both"/>
        <w:rPr>
          <w:rFonts w:ascii="Book Antiqua" w:hAnsi="Book Antiqua"/>
          <w:b/>
          <w:bCs/>
          <w:sz w:val="24"/>
          <w:szCs w:val="24"/>
          <w:lang w:val="id-ID"/>
        </w:rPr>
      </w:pPr>
    </w:p>
    <w:p w14:paraId="1726AC4D" w14:textId="77DA7239" w:rsidR="00093C09" w:rsidRPr="00B56D4F" w:rsidRDefault="00882EA9" w:rsidP="00882EA9">
      <w:pPr>
        <w:spacing w:after="240"/>
        <w:ind w:left="-142"/>
        <w:jc w:val="both"/>
        <w:rPr>
          <w:rFonts w:ascii="Book Antiqua" w:hAnsi="Book Antiqua"/>
          <w:b/>
          <w:bCs/>
          <w:sz w:val="24"/>
          <w:szCs w:val="24"/>
          <w:lang w:val="id-ID"/>
        </w:rPr>
      </w:pPr>
      <w:r w:rsidRPr="00B56D4F">
        <w:rPr>
          <w:rFonts w:ascii="Book Antiqua" w:hAnsi="Book Antiqua"/>
          <w:b/>
          <w:bCs/>
          <w:sz w:val="24"/>
          <w:szCs w:val="24"/>
          <w:lang w:val="id-ID"/>
        </w:rPr>
        <w:t xml:space="preserve">3. </w:t>
      </w:r>
      <w:r w:rsidR="006D1334" w:rsidRPr="00B56D4F">
        <w:rPr>
          <w:rFonts w:ascii="Book Antiqua" w:hAnsi="Book Antiqua"/>
          <w:b/>
          <w:bCs/>
          <w:sz w:val="24"/>
          <w:szCs w:val="24"/>
          <w:lang w:val="id-ID"/>
        </w:rPr>
        <w:t>Results and Discussion</w:t>
      </w:r>
    </w:p>
    <w:p w14:paraId="20192212" w14:textId="77777777" w:rsidR="002C1BA2" w:rsidRPr="002C1BA2" w:rsidRDefault="002C1BA2" w:rsidP="002C1BA2">
      <w:pPr>
        <w:pStyle w:val="ListParagraph"/>
        <w:numPr>
          <w:ilvl w:val="0"/>
          <w:numId w:val="47"/>
        </w:numPr>
        <w:spacing w:after="0" w:line="240" w:lineRule="auto"/>
        <w:ind w:left="851" w:hanging="425"/>
        <w:jc w:val="both"/>
        <w:rPr>
          <w:rFonts w:ascii="Book Antiqua" w:hAnsi="Book Antiqua"/>
          <w:b/>
          <w:bCs/>
          <w:color w:val="000000" w:themeColor="text1"/>
          <w:sz w:val="24"/>
          <w:szCs w:val="24"/>
        </w:rPr>
      </w:pPr>
      <w:proofErr w:type="spellStart"/>
      <w:r w:rsidRPr="002C1BA2">
        <w:rPr>
          <w:rFonts w:ascii="Book Antiqua" w:hAnsi="Book Antiqua"/>
          <w:b/>
          <w:bCs/>
          <w:color w:val="000000" w:themeColor="text1"/>
          <w:sz w:val="24"/>
          <w:szCs w:val="24"/>
        </w:rPr>
        <w:t>Musyarakah</w:t>
      </w:r>
      <w:proofErr w:type="spellEnd"/>
      <w:r w:rsidRPr="002C1BA2">
        <w:rPr>
          <w:rFonts w:ascii="Book Antiqua" w:hAnsi="Book Antiqua"/>
          <w:b/>
          <w:bCs/>
          <w:color w:val="000000" w:themeColor="text1"/>
          <w:sz w:val="24"/>
          <w:szCs w:val="24"/>
        </w:rPr>
        <w:t xml:space="preserve"> Guarantee in the Perspective of Islamic Jurisprudence</w:t>
      </w:r>
    </w:p>
    <w:p w14:paraId="7F3CCC86" w14:textId="77777777" w:rsidR="002C1BA2" w:rsidRPr="002C1BA2" w:rsidRDefault="002C1BA2" w:rsidP="002C1BA2">
      <w:pPr>
        <w:ind w:firstLine="720"/>
        <w:jc w:val="both"/>
        <w:rPr>
          <w:rFonts w:ascii="Book Antiqua" w:hAnsi="Book Antiqua"/>
          <w:color w:val="000000" w:themeColor="text1"/>
          <w:sz w:val="24"/>
          <w:szCs w:val="24"/>
          <w:lang w:val="en-GB"/>
        </w:rPr>
      </w:pPr>
      <w:r w:rsidRPr="002C1BA2">
        <w:rPr>
          <w:rFonts w:ascii="Book Antiqua" w:hAnsi="Book Antiqua"/>
          <w:color w:val="000000" w:themeColor="text1"/>
          <w:sz w:val="24"/>
          <w:szCs w:val="24"/>
          <w:lang w:val="en-GB"/>
        </w:rPr>
        <w:t xml:space="preserve">In </w:t>
      </w:r>
      <w:proofErr w:type="spellStart"/>
      <w:r w:rsidRPr="002C1BA2">
        <w:rPr>
          <w:rFonts w:ascii="Book Antiqua" w:hAnsi="Book Antiqua"/>
          <w:color w:val="000000" w:themeColor="text1"/>
          <w:sz w:val="24"/>
          <w:szCs w:val="24"/>
          <w:lang w:val="en-GB"/>
        </w:rPr>
        <w:t>fiqh</w:t>
      </w:r>
      <w:proofErr w:type="spellEnd"/>
      <w:r w:rsidRPr="002C1BA2">
        <w:rPr>
          <w:rFonts w:ascii="Book Antiqua" w:hAnsi="Book Antiqua"/>
          <w:color w:val="000000" w:themeColor="text1"/>
          <w:sz w:val="24"/>
          <w:szCs w:val="24"/>
          <w:lang w:val="en-GB"/>
        </w:rPr>
        <w:t xml:space="preserve">, the concept of guarantee in </w:t>
      </w:r>
      <w:proofErr w:type="spellStart"/>
      <w:r w:rsidRPr="002C1BA2">
        <w:rPr>
          <w:rFonts w:ascii="Book Antiqua" w:hAnsi="Book Antiqua"/>
          <w:i/>
          <w:iCs/>
          <w:color w:val="000000" w:themeColor="text1"/>
          <w:sz w:val="24"/>
          <w:szCs w:val="24"/>
          <w:lang w:val="en-GB"/>
        </w:rPr>
        <w:t>musyarakah</w:t>
      </w:r>
      <w:proofErr w:type="spellEnd"/>
      <w:r w:rsidRPr="002C1BA2">
        <w:rPr>
          <w:rFonts w:ascii="Book Antiqua" w:hAnsi="Book Antiqua"/>
          <w:color w:val="000000" w:themeColor="text1"/>
          <w:sz w:val="24"/>
          <w:szCs w:val="24"/>
          <w:lang w:val="en-GB"/>
        </w:rPr>
        <w:t xml:space="preserve"> is the same as guarantee in </w:t>
      </w:r>
      <w:proofErr w:type="spellStart"/>
      <w:r w:rsidRPr="002C1BA2">
        <w:rPr>
          <w:rFonts w:ascii="Book Antiqua" w:hAnsi="Book Antiqua"/>
          <w:i/>
          <w:iCs/>
          <w:color w:val="000000" w:themeColor="text1"/>
          <w:sz w:val="24"/>
          <w:szCs w:val="24"/>
          <w:lang w:val="en-GB"/>
        </w:rPr>
        <w:t>mudharabah</w:t>
      </w:r>
      <w:proofErr w:type="spellEnd"/>
      <w:r w:rsidRPr="002C1BA2">
        <w:rPr>
          <w:rFonts w:ascii="Book Antiqua" w:hAnsi="Book Antiqua"/>
          <w:color w:val="000000" w:themeColor="text1"/>
          <w:sz w:val="24"/>
          <w:szCs w:val="24"/>
          <w:lang w:val="en-GB"/>
        </w:rPr>
        <w:t xml:space="preserve">. Therefore, the </w:t>
      </w:r>
      <w:proofErr w:type="spellStart"/>
      <w:r w:rsidRPr="002C1BA2">
        <w:rPr>
          <w:rFonts w:ascii="Book Antiqua" w:hAnsi="Book Antiqua"/>
          <w:color w:val="000000" w:themeColor="text1"/>
          <w:sz w:val="24"/>
          <w:szCs w:val="24"/>
          <w:lang w:val="en-GB"/>
        </w:rPr>
        <w:t>fiqh</w:t>
      </w:r>
      <w:proofErr w:type="spellEnd"/>
      <w:r w:rsidRPr="002C1BA2">
        <w:rPr>
          <w:rFonts w:ascii="Book Antiqua" w:hAnsi="Book Antiqua"/>
          <w:color w:val="000000" w:themeColor="text1"/>
          <w:sz w:val="24"/>
          <w:szCs w:val="24"/>
          <w:lang w:val="en-GB"/>
        </w:rPr>
        <w:t xml:space="preserve"> opinion regarding the </w:t>
      </w:r>
      <w:proofErr w:type="spellStart"/>
      <w:r w:rsidRPr="002C1BA2">
        <w:rPr>
          <w:rFonts w:ascii="Book Antiqua" w:hAnsi="Book Antiqua"/>
          <w:i/>
          <w:iCs/>
          <w:color w:val="000000" w:themeColor="text1"/>
          <w:sz w:val="24"/>
          <w:szCs w:val="24"/>
          <w:lang w:val="en-GB"/>
        </w:rPr>
        <w:t>mudharabah</w:t>
      </w:r>
      <w:proofErr w:type="spellEnd"/>
      <w:r w:rsidRPr="002C1BA2">
        <w:rPr>
          <w:rFonts w:ascii="Book Antiqua" w:hAnsi="Book Antiqua"/>
          <w:color w:val="000000" w:themeColor="text1"/>
          <w:sz w:val="24"/>
          <w:szCs w:val="24"/>
          <w:lang w:val="en-GB"/>
        </w:rPr>
        <w:t xml:space="preserve"> guarantee is also the same as the opinion regarding the </w:t>
      </w:r>
      <w:proofErr w:type="spellStart"/>
      <w:r w:rsidRPr="002C1BA2">
        <w:rPr>
          <w:rFonts w:ascii="Book Antiqua" w:hAnsi="Book Antiqua"/>
          <w:i/>
          <w:iCs/>
          <w:color w:val="000000" w:themeColor="text1"/>
          <w:sz w:val="24"/>
          <w:szCs w:val="24"/>
          <w:lang w:val="en-GB"/>
        </w:rPr>
        <w:t>musyarakah</w:t>
      </w:r>
      <w:proofErr w:type="spellEnd"/>
      <w:r w:rsidRPr="002C1BA2">
        <w:rPr>
          <w:rFonts w:ascii="Book Antiqua" w:hAnsi="Book Antiqua"/>
          <w:color w:val="000000" w:themeColor="text1"/>
          <w:sz w:val="24"/>
          <w:szCs w:val="24"/>
          <w:lang w:val="en-GB"/>
        </w:rPr>
        <w:t xml:space="preserve"> guarantee. Regarding the law requiring guarantees in this </w:t>
      </w:r>
      <w:proofErr w:type="spellStart"/>
      <w:r w:rsidRPr="002C1BA2">
        <w:rPr>
          <w:rFonts w:ascii="Book Antiqua" w:hAnsi="Book Antiqua"/>
          <w:i/>
          <w:iCs/>
          <w:color w:val="000000" w:themeColor="text1"/>
          <w:sz w:val="24"/>
          <w:szCs w:val="24"/>
          <w:lang w:val="en-GB"/>
        </w:rPr>
        <w:t>mudharabah</w:t>
      </w:r>
      <w:proofErr w:type="spellEnd"/>
      <w:r w:rsidRPr="002C1BA2">
        <w:rPr>
          <w:rFonts w:ascii="Book Antiqua" w:hAnsi="Book Antiqua"/>
          <w:color w:val="000000" w:themeColor="text1"/>
          <w:sz w:val="24"/>
          <w:szCs w:val="24"/>
          <w:lang w:val="en-GB"/>
        </w:rPr>
        <w:t xml:space="preserve"> / </w:t>
      </w:r>
      <w:proofErr w:type="spellStart"/>
      <w:r w:rsidRPr="002C1BA2">
        <w:rPr>
          <w:rFonts w:ascii="Book Antiqua" w:hAnsi="Book Antiqua"/>
          <w:i/>
          <w:iCs/>
          <w:color w:val="000000" w:themeColor="text1"/>
          <w:sz w:val="24"/>
          <w:szCs w:val="24"/>
          <w:lang w:val="en-GB"/>
        </w:rPr>
        <w:t>musyarakah</w:t>
      </w:r>
      <w:proofErr w:type="spellEnd"/>
      <w:r w:rsidRPr="002C1BA2">
        <w:rPr>
          <w:rFonts w:ascii="Book Antiqua" w:hAnsi="Book Antiqua"/>
          <w:color w:val="000000" w:themeColor="text1"/>
          <w:sz w:val="24"/>
          <w:szCs w:val="24"/>
          <w:lang w:val="en-GB"/>
        </w:rPr>
        <w:t xml:space="preserve"> financing, the scholars differ into two groups, namely:</w:t>
      </w:r>
    </w:p>
    <w:p w14:paraId="5A7F3587" w14:textId="77777777" w:rsidR="002C1BA2" w:rsidRPr="002C1BA2" w:rsidRDefault="002C1BA2" w:rsidP="002C1BA2">
      <w:pPr>
        <w:pStyle w:val="ListParagraph"/>
        <w:numPr>
          <w:ilvl w:val="0"/>
          <w:numId w:val="45"/>
        </w:numPr>
        <w:spacing w:after="0" w:line="240" w:lineRule="auto"/>
        <w:ind w:left="426" w:hanging="426"/>
        <w:jc w:val="both"/>
        <w:rPr>
          <w:rFonts w:ascii="Book Antiqua" w:hAnsi="Book Antiqua"/>
          <w:color w:val="000000" w:themeColor="text1"/>
          <w:sz w:val="24"/>
          <w:szCs w:val="24"/>
        </w:rPr>
      </w:pPr>
      <w:r w:rsidRPr="002C1BA2">
        <w:rPr>
          <w:rFonts w:ascii="Book Antiqua" w:hAnsi="Book Antiqua"/>
          <w:color w:val="000000" w:themeColor="text1"/>
          <w:sz w:val="24"/>
          <w:szCs w:val="24"/>
        </w:rPr>
        <w:lastRenderedPageBreak/>
        <w:t xml:space="preserve">Opinions that prohibit guarantees in </w:t>
      </w:r>
      <w:proofErr w:type="spellStart"/>
      <w:r w:rsidRPr="002C1BA2">
        <w:rPr>
          <w:rFonts w:ascii="Book Antiqua" w:hAnsi="Book Antiqua"/>
          <w:color w:val="000000" w:themeColor="text1"/>
          <w:sz w:val="24"/>
          <w:szCs w:val="24"/>
        </w:rPr>
        <w:t>mudharabah</w:t>
      </w:r>
      <w:proofErr w:type="spellEnd"/>
      <w:r w:rsidRPr="002C1BA2">
        <w:rPr>
          <w:rFonts w:ascii="Book Antiqua" w:hAnsi="Book Antiqua"/>
          <w:color w:val="000000" w:themeColor="text1"/>
          <w:sz w:val="24"/>
          <w:szCs w:val="24"/>
        </w:rPr>
        <w:t xml:space="preserve"> contracts.</w:t>
      </w:r>
    </w:p>
    <w:p w14:paraId="5D3557D4" w14:textId="77777777" w:rsidR="002C1BA2" w:rsidRPr="002C1BA2" w:rsidRDefault="002C1BA2" w:rsidP="002C1BA2">
      <w:pPr>
        <w:pStyle w:val="ListParagraph"/>
        <w:spacing w:after="0" w:line="240" w:lineRule="auto"/>
        <w:ind w:left="426"/>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This opinion is the opinion of the majority of </w:t>
      </w:r>
      <w:proofErr w:type="spellStart"/>
      <w:r w:rsidRPr="002C1BA2">
        <w:rPr>
          <w:rFonts w:ascii="Book Antiqua" w:hAnsi="Book Antiqua"/>
          <w:color w:val="000000" w:themeColor="text1"/>
          <w:sz w:val="24"/>
          <w:szCs w:val="24"/>
        </w:rPr>
        <w:t>fiqh</w:t>
      </w:r>
      <w:proofErr w:type="spellEnd"/>
      <w:r w:rsidRPr="002C1BA2">
        <w:rPr>
          <w:rFonts w:ascii="Book Antiqua" w:hAnsi="Book Antiqua"/>
          <w:color w:val="000000" w:themeColor="text1"/>
          <w:sz w:val="24"/>
          <w:szCs w:val="24"/>
        </w:rPr>
        <w:t xml:space="preserve"> scholars from the Hanafi, </w:t>
      </w:r>
      <w:proofErr w:type="spellStart"/>
      <w:r w:rsidRPr="002C1BA2">
        <w:rPr>
          <w:rFonts w:ascii="Book Antiqua" w:hAnsi="Book Antiqua"/>
          <w:color w:val="000000" w:themeColor="text1"/>
          <w:sz w:val="24"/>
          <w:szCs w:val="24"/>
        </w:rPr>
        <w:t>Malikiyah</w:t>
      </w:r>
      <w:proofErr w:type="spellEnd"/>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Syafi'iyah</w:t>
      </w:r>
      <w:proofErr w:type="spellEnd"/>
      <w:r w:rsidRPr="002C1BA2">
        <w:rPr>
          <w:rFonts w:ascii="Book Antiqua" w:hAnsi="Book Antiqua"/>
          <w:color w:val="000000" w:themeColor="text1"/>
          <w:sz w:val="24"/>
          <w:szCs w:val="24"/>
        </w:rPr>
        <w:t xml:space="preserve">, and </w:t>
      </w:r>
      <w:proofErr w:type="spellStart"/>
      <w:r w:rsidRPr="002C1BA2">
        <w:rPr>
          <w:rFonts w:ascii="Book Antiqua" w:hAnsi="Book Antiqua"/>
          <w:color w:val="000000" w:themeColor="text1"/>
          <w:sz w:val="24"/>
          <w:szCs w:val="24"/>
        </w:rPr>
        <w:t>Hanabilah</w:t>
      </w:r>
      <w:proofErr w:type="spellEnd"/>
      <w:r w:rsidRPr="002C1BA2">
        <w:rPr>
          <w:rFonts w:ascii="Book Antiqua" w:hAnsi="Book Antiqua"/>
          <w:color w:val="000000" w:themeColor="text1"/>
          <w:sz w:val="24"/>
          <w:szCs w:val="24"/>
        </w:rPr>
        <w:t xml:space="preserve"> schools </w:t>
      </w:r>
      <w:r w:rsidRPr="002C1BA2">
        <w:rPr>
          <w:rFonts w:ascii="Book Antiqua" w:hAnsi="Book Antiqua"/>
          <w:color w:val="000000" w:themeColor="text1"/>
          <w:sz w:val="24"/>
          <w:szCs w:val="24"/>
        </w:rPr>
        <w:fldChar w:fldCharType="begin" w:fldLock="1"/>
      </w:r>
      <w:r w:rsidRPr="002C1BA2">
        <w:rPr>
          <w:rFonts w:ascii="Book Antiqua" w:hAnsi="Book Antiqua"/>
          <w:color w:val="000000" w:themeColor="text1"/>
          <w:sz w:val="24"/>
          <w:szCs w:val="24"/>
        </w:rPr>
        <w:instrText>ADDIN CSL_CITATION {"citationItems":[{"id":"ITEM-1","itemData":{"author":[{"dropping-particle":"","family":"Ibnu Nujaim","given":"","non-dropping-particle":"","parse-names":false,"suffix":""}],"id":"ITEM-1","issued":{"date-parts":[["2013"]]},"publisher":"Darul Kutub al-Ilmiyyah","publisher-place":"Beirut","title":"al-Bahrur Raiq","type":"book"},"uris":["http://www.mendeley.com/documents/?uuid=480bfbc7-07b3-4183-9501-1f20bdf1a325"]}],"mendeley":{"formattedCitation":"(Ibnu Nujaim, 2013)","plainTextFormattedCitation":"(Ibnu Nujaim, 2013)","previouslyFormattedCitation":"(Ibnu Nujaim, 2013)"},"properties":{"noteIndex":0},"schema":"https://github.com/citation-style-language/schema/raw/master/csl-citation.json"}</w:instrText>
      </w:r>
      <w:r w:rsidRPr="002C1BA2">
        <w:rPr>
          <w:rFonts w:ascii="Book Antiqua" w:hAnsi="Book Antiqua"/>
          <w:color w:val="000000" w:themeColor="text1"/>
          <w:sz w:val="24"/>
          <w:szCs w:val="24"/>
        </w:rPr>
        <w:fldChar w:fldCharType="separate"/>
      </w:r>
      <w:r w:rsidRPr="002C1BA2">
        <w:rPr>
          <w:rFonts w:ascii="Book Antiqua" w:hAnsi="Book Antiqua"/>
          <w:noProof/>
          <w:color w:val="000000" w:themeColor="text1"/>
          <w:sz w:val="24"/>
          <w:szCs w:val="24"/>
        </w:rPr>
        <w:t>(Ibnu Nujaim, 2013)</w:t>
      </w:r>
      <w:r w:rsidRPr="002C1BA2">
        <w:rPr>
          <w:rFonts w:ascii="Book Antiqua" w:hAnsi="Book Antiqua"/>
          <w:color w:val="000000" w:themeColor="text1"/>
          <w:sz w:val="24"/>
          <w:szCs w:val="24"/>
        </w:rPr>
        <w:fldChar w:fldCharType="end"/>
      </w:r>
      <w:r w:rsidRPr="002C1BA2">
        <w:rPr>
          <w:rFonts w:ascii="Book Antiqua" w:hAnsi="Book Antiqua"/>
          <w:color w:val="000000" w:themeColor="text1"/>
          <w:sz w:val="24"/>
          <w:szCs w:val="24"/>
        </w:rPr>
        <w:t>. Among the arguments used to support this opinion are:</w:t>
      </w:r>
    </w:p>
    <w:p w14:paraId="62774D69" w14:textId="77777777" w:rsidR="002C1BA2" w:rsidRPr="002C1BA2" w:rsidRDefault="002C1BA2" w:rsidP="002C1BA2">
      <w:pPr>
        <w:pStyle w:val="ListParagraph"/>
        <w:numPr>
          <w:ilvl w:val="0"/>
          <w:numId w:val="48"/>
        </w:numPr>
        <w:spacing w:after="0" w:line="240" w:lineRule="auto"/>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In principle, </w:t>
      </w:r>
      <w:proofErr w:type="spellStart"/>
      <w:r w:rsidRPr="002C1BA2">
        <w:rPr>
          <w:rFonts w:ascii="Book Antiqua" w:hAnsi="Book Antiqua"/>
          <w:i/>
          <w:iCs/>
          <w:color w:val="000000" w:themeColor="text1"/>
          <w:sz w:val="24"/>
          <w:szCs w:val="24"/>
        </w:rPr>
        <w:t>mudharib</w:t>
      </w:r>
      <w:proofErr w:type="spellEnd"/>
      <w:r w:rsidRPr="002C1BA2">
        <w:rPr>
          <w:rFonts w:ascii="Book Antiqua" w:hAnsi="Book Antiqua"/>
          <w:color w:val="000000" w:themeColor="text1"/>
          <w:sz w:val="24"/>
          <w:szCs w:val="24"/>
        </w:rPr>
        <w:t xml:space="preserve"> (entrepreneur) is a person entrusted with the mandate to manage capital, and </w:t>
      </w:r>
      <w:proofErr w:type="spellStart"/>
      <w:r w:rsidRPr="002C1BA2">
        <w:rPr>
          <w:rFonts w:ascii="Book Antiqua" w:hAnsi="Book Antiqua"/>
          <w:i/>
          <w:iCs/>
          <w:color w:val="000000" w:themeColor="text1"/>
          <w:sz w:val="24"/>
          <w:szCs w:val="24"/>
        </w:rPr>
        <w:t>mudharib</w:t>
      </w:r>
      <w:proofErr w:type="spellEnd"/>
      <w:r w:rsidRPr="002C1BA2">
        <w:rPr>
          <w:rFonts w:ascii="Book Antiqua" w:hAnsi="Book Antiqua"/>
          <w:i/>
          <w:iCs/>
          <w:color w:val="000000" w:themeColor="text1"/>
          <w:sz w:val="24"/>
          <w:szCs w:val="24"/>
        </w:rPr>
        <w:t xml:space="preserve"> </w:t>
      </w:r>
      <w:r w:rsidRPr="002C1BA2">
        <w:rPr>
          <w:rFonts w:ascii="Book Antiqua" w:hAnsi="Book Antiqua"/>
          <w:color w:val="000000" w:themeColor="text1"/>
          <w:sz w:val="24"/>
          <w:szCs w:val="24"/>
        </w:rPr>
        <w:t xml:space="preserve">cannot be sued for compensation for the business </w:t>
      </w:r>
      <w:r w:rsidRPr="002C1BA2">
        <w:rPr>
          <w:rFonts w:ascii="Book Antiqua" w:hAnsi="Book Antiqua"/>
          <w:color w:val="000000" w:themeColor="text1"/>
          <w:sz w:val="24"/>
          <w:szCs w:val="24"/>
        </w:rPr>
        <w:fldChar w:fldCharType="begin" w:fldLock="1"/>
      </w:r>
      <w:r w:rsidRPr="002C1BA2">
        <w:rPr>
          <w:rFonts w:ascii="Book Antiqua" w:hAnsi="Book Antiqua"/>
          <w:color w:val="000000" w:themeColor="text1"/>
          <w:sz w:val="24"/>
          <w:szCs w:val="24"/>
        </w:rPr>
        <w:instrText>ADDIN CSL_CITATION {"citationItems":[{"id":"ITEM-1","itemData":{"author":[{"dropping-particle":"","family":"Al-Baji","given":"","non-dropping-particle":"","parse-names":false,"suffix":""}],"id":"ITEM-1","issued":{"date-parts":[["2009"]]},"publisher":"Darul Kutub al-Ilmiyyah","publisher-place":"Beirut","title":"al-Muntaqo syarh al-Muwattho’","type":"book"},"uris":["http://www.mendeley.com/documents/?uuid=034f9f1d-ca2a-42d8-b577-b275baf6d497"]}],"mendeley":{"formattedCitation":"(Al-Baji, 2009)","plainTextFormattedCitation":"(Al-Baji, 2009)","previouslyFormattedCitation":"(Al-Baji, 2009)"},"properties":{"noteIndex":0},"schema":"https://github.com/citation-style-language/schema/raw/master/csl-citation.json"}</w:instrText>
      </w:r>
      <w:r w:rsidRPr="002C1BA2">
        <w:rPr>
          <w:rFonts w:ascii="Book Antiqua" w:hAnsi="Book Antiqua"/>
          <w:color w:val="000000" w:themeColor="text1"/>
          <w:sz w:val="24"/>
          <w:szCs w:val="24"/>
        </w:rPr>
        <w:fldChar w:fldCharType="separate"/>
      </w:r>
      <w:r w:rsidRPr="002C1BA2">
        <w:rPr>
          <w:rFonts w:ascii="Book Antiqua" w:hAnsi="Book Antiqua"/>
          <w:noProof/>
          <w:color w:val="000000" w:themeColor="text1"/>
          <w:sz w:val="24"/>
          <w:szCs w:val="24"/>
        </w:rPr>
        <w:t>(Al-Baji, 2009)</w:t>
      </w:r>
      <w:r w:rsidRPr="002C1BA2">
        <w:rPr>
          <w:rFonts w:ascii="Book Antiqua" w:hAnsi="Book Antiqua"/>
          <w:color w:val="000000" w:themeColor="text1"/>
          <w:sz w:val="24"/>
          <w:szCs w:val="24"/>
        </w:rPr>
        <w:fldChar w:fldCharType="end"/>
      </w:r>
      <w:r w:rsidRPr="002C1BA2">
        <w:rPr>
          <w:rFonts w:ascii="Book Antiqua" w:hAnsi="Book Antiqua"/>
          <w:color w:val="000000" w:themeColor="text1"/>
          <w:sz w:val="24"/>
          <w:szCs w:val="24"/>
        </w:rPr>
        <w:t xml:space="preserve">. </w:t>
      </w:r>
    </w:p>
    <w:p w14:paraId="15E1967B" w14:textId="77777777" w:rsidR="002C1BA2" w:rsidRPr="002C1BA2" w:rsidRDefault="002C1BA2" w:rsidP="002C1BA2">
      <w:pPr>
        <w:pStyle w:val="ListParagraph"/>
        <w:numPr>
          <w:ilvl w:val="0"/>
          <w:numId w:val="46"/>
        </w:numPr>
        <w:spacing w:after="0" w:line="240" w:lineRule="auto"/>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Requiring a guarantee to the </w:t>
      </w:r>
      <w:proofErr w:type="spellStart"/>
      <w:r w:rsidRPr="002C1BA2">
        <w:rPr>
          <w:rFonts w:ascii="Book Antiqua" w:hAnsi="Book Antiqua"/>
          <w:i/>
          <w:iCs/>
          <w:color w:val="000000" w:themeColor="text1"/>
          <w:sz w:val="24"/>
          <w:szCs w:val="24"/>
        </w:rPr>
        <w:t>mudharib</w:t>
      </w:r>
      <w:proofErr w:type="spellEnd"/>
      <w:r w:rsidRPr="002C1BA2">
        <w:rPr>
          <w:rFonts w:ascii="Book Antiqua" w:hAnsi="Book Antiqua"/>
          <w:color w:val="000000" w:themeColor="text1"/>
          <w:sz w:val="24"/>
          <w:szCs w:val="24"/>
        </w:rPr>
        <w:t xml:space="preserve"> will change the essence of the </w:t>
      </w:r>
      <w:proofErr w:type="spellStart"/>
      <w:r w:rsidRPr="002C1BA2">
        <w:rPr>
          <w:rFonts w:ascii="Book Antiqua" w:hAnsi="Book Antiqua"/>
          <w:i/>
          <w:iCs/>
          <w:color w:val="000000" w:themeColor="text1"/>
          <w:sz w:val="24"/>
          <w:szCs w:val="24"/>
        </w:rPr>
        <w:t>mudharabah</w:t>
      </w:r>
      <w:proofErr w:type="spellEnd"/>
      <w:r w:rsidRPr="002C1BA2">
        <w:rPr>
          <w:rFonts w:ascii="Book Antiqua" w:hAnsi="Book Antiqua"/>
          <w:color w:val="000000" w:themeColor="text1"/>
          <w:sz w:val="24"/>
          <w:szCs w:val="24"/>
        </w:rPr>
        <w:t xml:space="preserve"> contract from a contract based on trust to another contract that is not the essence of the </w:t>
      </w:r>
      <w:proofErr w:type="spellStart"/>
      <w:r w:rsidRPr="002C1BA2">
        <w:rPr>
          <w:rFonts w:ascii="Book Antiqua" w:hAnsi="Book Antiqua"/>
          <w:i/>
          <w:iCs/>
          <w:color w:val="000000" w:themeColor="text1"/>
          <w:sz w:val="24"/>
          <w:szCs w:val="24"/>
        </w:rPr>
        <w:t>mudharabah</w:t>
      </w:r>
      <w:proofErr w:type="spellEnd"/>
      <w:r w:rsidRPr="002C1BA2">
        <w:rPr>
          <w:rFonts w:ascii="Book Antiqua" w:hAnsi="Book Antiqua"/>
          <w:color w:val="000000" w:themeColor="text1"/>
          <w:sz w:val="24"/>
          <w:szCs w:val="24"/>
        </w:rPr>
        <w:t xml:space="preserve"> contract</w:t>
      </w:r>
      <w:r w:rsidRPr="002C1BA2">
        <w:rPr>
          <w:rFonts w:ascii="Book Antiqua" w:hAnsi="Book Antiqua"/>
          <w:i/>
          <w:iCs/>
          <w:color w:val="000000" w:themeColor="text1"/>
          <w:sz w:val="24"/>
          <w:szCs w:val="24"/>
        </w:rPr>
        <w:t xml:space="preserve"> </w:t>
      </w:r>
      <w:r w:rsidRPr="002C1BA2">
        <w:rPr>
          <w:rFonts w:ascii="Book Antiqua" w:hAnsi="Book Antiqua"/>
          <w:i/>
          <w:iCs/>
          <w:color w:val="000000" w:themeColor="text1"/>
          <w:sz w:val="24"/>
          <w:szCs w:val="24"/>
        </w:rPr>
        <w:fldChar w:fldCharType="begin" w:fldLock="1"/>
      </w:r>
      <w:r w:rsidRPr="002C1BA2">
        <w:rPr>
          <w:rFonts w:ascii="Book Antiqua" w:hAnsi="Book Antiqua"/>
          <w:i/>
          <w:iCs/>
          <w:color w:val="000000" w:themeColor="text1"/>
          <w:sz w:val="24"/>
          <w:szCs w:val="24"/>
        </w:rPr>
        <w:instrText>ADDIN CSL_CITATION {"citationItems":[{"id":"ITEM-1","itemData":{"author":[{"dropping-particle":"","family":"Al-Baji","given":"","non-dropping-particle":"","parse-names":false,"suffix":""}],"id":"ITEM-1","issued":{"date-parts":[["2009"]]},"publisher":"Darul Kutub al-Ilmiyyah","publisher-place":"Beirut","title":"al-Muntaqo syarh al-Muwattho’","type":"book"},"uris":["http://www.mendeley.com/documents/?uuid=034f9f1d-ca2a-42d8-b577-b275baf6d497"]}],"mendeley":{"formattedCitation":"(Al-Baji, 2009)","plainTextFormattedCitation":"(Al-Baji, 2009)","previouslyFormattedCitation":"(Al-Baji, 2009)"},"properties":{"noteIndex":0},"schema":"https://github.com/citation-style-language/schema/raw/master/csl-citation.json"}</w:instrText>
      </w:r>
      <w:r w:rsidRPr="002C1BA2">
        <w:rPr>
          <w:rFonts w:ascii="Book Antiqua" w:hAnsi="Book Antiqua"/>
          <w:i/>
          <w:iCs/>
          <w:color w:val="000000" w:themeColor="text1"/>
          <w:sz w:val="24"/>
          <w:szCs w:val="24"/>
        </w:rPr>
        <w:fldChar w:fldCharType="separate"/>
      </w:r>
      <w:r w:rsidRPr="002C1BA2">
        <w:rPr>
          <w:rFonts w:ascii="Book Antiqua" w:hAnsi="Book Antiqua"/>
          <w:iCs/>
          <w:noProof/>
          <w:color w:val="000000" w:themeColor="text1"/>
          <w:sz w:val="24"/>
          <w:szCs w:val="24"/>
        </w:rPr>
        <w:t>(Al-Baji, 2009)</w:t>
      </w:r>
      <w:r w:rsidRPr="002C1BA2">
        <w:rPr>
          <w:rFonts w:ascii="Book Antiqua" w:hAnsi="Book Antiqua"/>
          <w:i/>
          <w:iCs/>
          <w:color w:val="000000" w:themeColor="text1"/>
          <w:sz w:val="24"/>
          <w:szCs w:val="24"/>
        </w:rPr>
        <w:fldChar w:fldCharType="end"/>
      </w:r>
      <w:r w:rsidRPr="002C1BA2">
        <w:rPr>
          <w:rFonts w:ascii="Book Antiqua" w:hAnsi="Book Antiqua"/>
          <w:color w:val="000000" w:themeColor="text1"/>
          <w:sz w:val="24"/>
          <w:szCs w:val="24"/>
        </w:rPr>
        <w:t xml:space="preserve">. </w:t>
      </w:r>
    </w:p>
    <w:p w14:paraId="0A569E4A" w14:textId="77777777" w:rsidR="002C1BA2" w:rsidRPr="002C1BA2" w:rsidRDefault="002C1BA2" w:rsidP="002C1BA2">
      <w:pPr>
        <w:pStyle w:val="ListParagraph"/>
        <w:spacing w:after="0" w:line="240" w:lineRule="auto"/>
        <w:ind w:left="786"/>
        <w:jc w:val="both"/>
        <w:rPr>
          <w:rFonts w:ascii="Book Antiqua" w:hAnsi="Book Antiqua"/>
          <w:color w:val="000000" w:themeColor="text1"/>
          <w:sz w:val="24"/>
          <w:szCs w:val="24"/>
        </w:rPr>
      </w:pPr>
      <w:r w:rsidRPr="002C1BA2">
        <w:rPr>
          <w:rFonts w:ascii="Book Antiqua" w:hAnsi="Book Antiqua"/>
          <w:color w:val="000000" w:themeColor="text1"/>
          <w:sz w:val="24"/>
          <w:szCs w:val="24"/>
        </w:rPr>
        <w:t>In his explanation, As-</w:t>
      </w:r>
      <w:proofErr w:type="spellStart"/>
      <w:r w:rsidRPr="002C1BA2">
        <w:rPr>
          <w:rFonts w:ascii="Book Antiqua" w:hAnsi="Book Antiqua"/>
          <w:color w:val="000000" w:themeColor="text1"/>
          <w:sz w:val="24"/>
          <w:szCs w:val="24"/>
        </w:rPr>
        <w:t>Sarkhosi</w:t>
      </w:r>
      <w:proofErr w:type="spellEnd"/>
      <w:r w:rsidRPr="002C1BA2">
        <w:rPr>
          <w:rFonts w:ascii="Book Antiqua" w:hAnsi="Book Antiqua"/>
          <w:color w:val="000000" w:themeColor="text1"/>
          <w:sz w:val="24"/>
          <w:szCs w:val="24"/>
        </w:rPr>
        <w:t xml:space="preserve"> said:</w:t>
      </w:r>
    </w:p>
    <w:p w14:paraId="380339CD" w14:textId="77777777" w:rsidR="002C1BA2" w:rsidRPr="002C1BA2" w:rsidRDefault="002C1BA2" w:rsidP="002C1BA2">
      <w:pPr>
        <w:pStyle w:val="ListParagraph"/>
        <w:bidi/>
        <w:spacing w:after="0" w:line="240" w:lineRule="auto"/>
        <w:ind w:left="4" w:right="851"/>
        <w:jc w:val="both"/>
        <w:rPr>
          <w:rFonts w:ascii="Book Antiqua" w:hAnsi="Book Antiqua" w:cs="Arabic Typesetting"/>
          <w:color w:val="000000" w:themeColor="text1"/>
          <w:sz w:val="24"/>
          <w:szCs w:val="24"/>
        </w:rPr>
      </w:pPr>
      <w:r w:rsidRPr="002C1BA2">
        <w:rPr>
          <w:rFonts w:ascii="Book Antiqua" w:hAnsi="Book Antiqua" w:cs="Arabic Typesetting"/>
          <w:color w:val="000000" w:themeColor="text1"/>
          <w:sz w:val="24"/>
          <w:szCs w:val="24"/>
          <w:rtl/>
        </w:rPr>
        <w:t xml:space="preserve">المقصود بهذا العقد الشركة في الربح وكل شرط يؤدي إلى قطع الشركة في الربح بينهما مع حصوله فهو مبطل للعقد لأنه مفوت لموجب العقد. </w:t>
      </w:r>
    </w:p>
    <w:p w14:paraId="6ECD3ACC" w14:textId="77777777" w:rsidR="002C1BA2" w:rsidRPr="002C1BA2" w:rsidRDefault="002C1BA2" w:rsidP="002C1BA2">
      <w:pPr>
        <w:pStyle w:val="ListParagraph"/>
        <w:spacing w:after="0" w:line="240" w:lineRule="auto"/>
        <w:ind w:left="788"/>
        <w:jc w:val="both"/>
        <w:rPr>
          <w:rFonts w:ascii="Book Antiqua" w:hAnsi="Book Antiqua"/>
          <w:color w:val="000000" w:themeColor="text1"/>
          <w:sz w:val="24"/>
          <w:szCs w:val="24"/>
        </w:rPr>
      </w:pPr>
      <w:r w:rsidRPr="002C1BA2">
        <w:rPr>
          <w:rFonts w:ascii="Book Antiqua" w:hAnsi="Book Antiqua"/>
          <w:i/>
          <w:iCs/>
          <w:color w:val="000000" w:themeColor="text1"/>
          <w:sz w:val="24"/>
          <w:szCs w:val="24"/>
        </w:rPr>
        <w:t xml:space="preserve">"That which is meant by the essence of the </w:t>
      </w:r>
      <w:proofErr w:type="spellStart"/>
      <w:r w:rsidRPr="002C1BA2">
        <w:rPr>
          <w:rFonts w:ascii="Book Antiqua" w:hAnsi="Book Antiqua"/>
          <w:i/>
          <w:iCs/>
          <w:color w:val="000000" w:themeColor="text1"/>
          <w:sz w:val="24"/>
          <w:szCs w:val="24"/>
        </w:rPr>
        <w:t>mudharabah</w:t>
      </w:r>
      <w:proofErr w:type="spellEnd"/>
      <w:r w:rsidRPr="002C1BA2">
        <w:rPr>
          <w:rFonts w:ascii="Book Antiqua" w:hAnsi="Book Antiqua"/>
          <w:i/>
          <w:iCs/>
          <w:color w:val="000000" w:themeColor="text1"/>
          <w:sz w:val="24"/>
          <w:szCs w:val="24"/>
        </w:rPr>
        <w:t xml:space="preserve"> contract is a partnership in terms of profit. So if there are conditions that can break the profit partnership, then these conditions can cancel the </w:t>
      </w:r>
      <w:proofErr w:type="spellStart"/>
      <w:r w:rsidRPr="002C1BA2">
        <w:rPr>
          <w:rFonts w:ascii="Book Antiqua" w:hAnsi="Book Antiqua"/>
          <w:i/>
          <w:iCs/>
          <w:color w:val="000000" w:themeColor="text1"/>
          <w:sz w:val="24"/>
          <w:szCs w:val="24"/>
        </w:rPr>
        <w:t>mudharabah</w:t>
      </w:r>
      <w:proofErr w:type="spellEnd"/>
      <w:r w:rsidRPr="002C1BA2">
        <w:rPr>
          <w:rFonts w:ascii="Book Antiqua" w:hAnsi="Book Antiqua"/>
          <w:i/>
          <w:iCs/>
          <w:color w:val="000000" w:themeColor="text1"/>
          <w:sz w:val="24"/>
          <w:szCs w:val="24"/>
        </w:rPr>
        <w:t xml:space="preserve"> contract</w:t>
      </w:r>
      <w:r w:rsidRPr="002C1BA2">
        <w:rPr>
          <w:rFonts w:ascii="Book Antiqua" w:hAnsi="Book Antiqua"/>
          <w:color w:val="000000" w:themeColor="text1"/>
          <w:sz w:val="24"/>
          <w:szCs w:val="24"/>
        </w:rPr>
        <w:t>."</w:t>
      </w:r>
      <w:r w:rsidRPr="002C1BA2">
        <w:rPr>
          <w:rFonts w:ascii="Book Antiqua" w:hAnsi="Book Antiqua"/>
          <w:color w:val="000000" w:themeColor="text1"/>
          <w:sz w:val="24"/>
          <w:szCs w:val="24"/>
        </w:rPr>
        <w:fldChar w:fldCharType="begin" w:fldLock="1"/>
      </w:r>
      <w:r w:rsidRPr="002C1BA2">
        <w:rPr>
          <w:rFonts w:ascii="Book Antiqua" w:hAnsi="Book Antiqua"/>
          <w:color w:val="000000" w:themeColor="text1"/>
          <w:sz w:val="24"/>
          <w:szCs w:val="24"/>
        </w:rPr>
        <w:instrText>ADDIN CSL_CITATION {"citationItems":[{"id":"ITEM-1","itemData":{"author":[{"dropping-particle":"","family":"As-Sarkhosi","given":"","non-dropping-particle":"","parse-names":false,"suffix":""}],"id":"ITEM-1","issued":{"date-parts":[["2016"]]},"publisher":"Darul Kutub al-Ilmiyyah","publisher-place":"Beirut","title":"al-Mabsuth","type":"book"},"uris":["http://www.mendeley.com/documents/?uuid=8a0513e2-a875-4733-8ce1-4d308f86c9a4"]}],"mendeley":{"formattedCitation":"(As-Sarkhosi, 2016)","plainTextFormattedCitation":"(As-Sarkhosi, 2016)","previouslyFormattedCitation":"(As-Sarkhosi, 2016)"},"properties":{"noteIndex":0},"schema":"https://github.com/citation-style-language/schema/raw/master/csl-citation.json"}</w:instrText>
      </w:r>
      <w:r w:rsidRPr="002C1BA2">
        <w:rPr>
          <w:rFonts w:ascii="Book Antiqua" w:hAnsi="Book Antiqua"/>
          <w:color w:val="000000" w:themeColor="text1"/>
          <w:sz w:val="24"/>
          <w:szCs w:val="24"/>
        </w:rPr>
        <w:fldChar w:fldCharType="separate"/>
      </w:r>
      <w:r w:rsidRPr="002C1BA2">
        <w:rPr>
          <w:rFonts w:ascii="Book Antiqua" w:hAnsi="Book Antiqua"/>
          <w:noProof/>
          <w:color w:val="000000" w:themeColor="text1"/>
          <w:sz w:val="24"/>
          <w:szCs w:val="24"/>
        </w:rPr>
        <w:t>(As-</w:t>
      </w:r>
      <w:proofErr w:type="spellStart"/>
      <w:r w:rsidRPr="002C1BA2">
        <w:rPr>
          <w:rFonts w:ascii="Book Antiqua" w:hAnsi="Book Antiqua"/>
          <w:noProof/>
          <w:color w:val="000000" w:themeColor="text1"/>
          <w:sz w:val="24"/>
          <w:szCs w:val="24"/>
        </w:rPr>
        <w:t>Sarkhosi</w:t>
      </w:r>
      <w:proofErr w:type="spellEnd"/>
      <w:r w:rsidRPr="002C1BA2">
        <w:rPr>
          <w:rFonts w:ascii="Book Antiqua" w:hAnsi="Book Antiqua"/>
          <w:noProof/>
          <w:color w:val="000000" w:themeColor="text1"/>
          <w:sz w:val="24"/>
          <w:szCs w:val="24"/>
        </w:rPr>
        <w:t>, 2016)</w:t>
      </w:r>
      <w:r w:rsidRPr="002C1BA2">
        <w:rPr>
          <w:rFonts w:ascii="Book Antiqua" w:hAnsi="Book Antiqua"/>
          <w:color w:val="000000" w:themeColor="text1"/>
          <w:sz w:val="24"/>
          <w:szCs w:val="24"/>
        </w:rPr>
        <w:fldChar w:fldCharType="end"/>
      </w:r>
    </w:p>
    <w:p w14:paraId="52558F55" w14:textId="77777777" w:rsidR="002C1BA2" w:rsidRPr="002C1BA2" w:rsidRDefault="002C1BA2" w:rsidP="002C1BA2">
      <w:pPr>
        <w:pStyle w:val="ListParagraph"/>
        <w:spacing w:after="0" w:line="240" w:lineRule="auto"/>
        <w:ind w:left="786"/>
        <w:jc w:val="both"/>
        <w:rPr>
          <w:rFonts w:ascii="Book Antiqua" w:hAnsi="Book Antiqua"/>
          <w:color w:val="000000" w:themeColor="text1"/>
          <w:sz w:val="24"/>
          <w:szCs w:val="24"/>
        </w:rPr>
      </w:pPr>
      <w:r w:rsidRPr="002C1BA2">
        <w:rPr>
          <w:rFonts w:ascii="Book Antiqua" w:hAnsi="Book Antiqua"/>
          <w:color w:val="000000" w:themeColor="text1"/>
          <w:sz w:val="24"/>
          <w:szCs w:val="24"/>
        </w:rPr>
        <w:t>Then al-</w:t>
      </w:r>
      <w:proofErr w:type="spellStart"/>
      <w:r w:rsidRPr="002C1BA2">
        <w:rPr>
          <w:rFonts w:ascii="Book Antiqua" w:hAnsi="Book Antiqua"/>
          <w:color w:val="000000" w:themeColor="text1"/>
          <w:sz w:val="24"/>
          <w:szCs w:val="24"/>
        </w:rPr>
        <w:t>Baji</w:t>
      </w:r>
      <w:proofErr w:type="spellEnd"/>
      <w:r w:rsidRPr="002C1BA2">
        <w:rPr>
          <w:rFonts w:ascii="Book Antiqua" w:hAnsi="Book Antiqua"/>
          <w:color w:val="000000" w:themeColor="text1"/>
          <w:sz w:val="24"/>
          <w:szCs w:val="24"/>
        </w:rPr>
        <w:t xml:space="preserve"> also explained:</w:t>
      </w:r>
    </w:p>
    <w:p w14:paraId="37688705" w14:textId="77777777" w:rsidR="002C1BA2" w:rsidRPr="002C1BA2" w:rsidRDefault="002C1BA2" w:rsidP="002C1BA2">
      <w:pPr>
        <w:pStyle w:val="ListParagraph"/>
        <w:bidi/>
        <w:spacing w:after="0" w:line="240" w:lineRule="auto"/>
        <w:ind w:left="4" w:right="851"/>
        <w:jc w:val="both"/>
        <w:rPr>
          <w:rFonts w:ascii="Book Antiqua" w:hAnsi="Book Antiqua" w:cs="Arabic Typesetting"/>
          <w:color w:val="000000" w:themeColor="text1"/>
          <w:sz w:val="24"/>
          <w:szCs w:val="24"/>
          <w:rtl/>
        </w:rPr>
      </w:pPr>
      <w:r w:rsidRPr="002C1BA2">
        <w:rPr>
          <w:rFonts w:ascii="Book Antiqua" w:hAnsi="Book Antiqua" w:cs="Arabic Typesetting"/>
          <w:color w:val="000000" w:themeColor="text1"/>
          <w:sz w:val="24"/>
          <w:szCs w:val="24"/>
          <w:rtl/>
        </w:rPr>
        <w:t>أن عقد القراض لا يقتضي ضمان العامل, و إنما يقتضي الأمانة ولا خلاف في ذلك. فلذلك إذا شرط نقل الضمان عن محله بإجماع إقتضى ذلك فساد العقد والشرط.</w:t>
      </w:r>
    </w:p>
    <w:p w14:paraId="4010AE2C" w14:textId="77777777" w:rsidR="002C1BA2" w:rsidRPr="002C1BA2" w:rsidRDefault="002C1BA2" w:rsidP="002C1BA2">
      <w:pPr>
        <w:pStyle w:val="ListParagraph"/>
        <w:spacing w:after="0" w:line="240" w:lineRule="auto"/>
        <w:ind w:left="788"/>
        <w:jc w:val="both"/>
        <w:rPr>
          <w:rFonts w:ascii="Book Antiqua" w:hAnsi="Book Antiqua"/>
          <w:color w:val="000000" w:themeColor="text1"/>
          <w:sz w:val="24"/>
          <w:szCs w:val="24"/>
        </w:rPr>
      </w:pPr>
      <w:r w:rsidRPr="002C1BA2">
        <w:rPr>
          <w:rFonts w:ascii="Book Antiqua" w:hAnsi="Book Antiqua"/>
          <w:i/>
          <w:iCs/>
          <w:color w:val="000000" w:themeColor="text1"/>
          <w:sz w:val="24"/>
          <w:szCs w:val="24"/>
        </w:rPr>
        <w:t>“</w:t>
      </w:r>
      <w:proofErr w:type="spellStart"/>
      <w:r w:rsidRPr="002C1BA2">
        <w:rPr>
          <w:rFonts w:ascii="Book Antiqua" w:hAnsi="Book Antiqua"/>
          <w:i/>
          <w:iCs/>
          <w:color w:val="000000" w:themeColor="text1"/>
          <w:sz w:val="24"/>
          <w:szCs w:val="24"/>
        </w:rPr>
        <w:t>Mudharabah</w:t>
      </w:r>
      <w:proofErr w:type="spellEnd"/>
      <w:r w:rsidRPr="002C1BA2">
        <w:rPr>
          <w:rFonts w:ascii="Book Antiqua" w:hAnsi="Book Antiqua"/>
          <w:i/>
          <w:iCs/>
          <w:color w:val="000000" w:themeColor="text1"/>
          <w:sz w:val="24"/>
          <w:szCs w:val="24"/>
        </w:rPr>
        <w:t>/</w:t>
      </w:r>
      <w:proofErr w:type="spellStart"/>
      <w:r w:rsidRPr="002C1BA2">
        <w:rPr>
          <w:rFonts w:ascii="Book Antiqua" w:hAnsi="Book Antiqua"/>
          <w:i/>
          <w:iCs/>
          <w:color w:val="000000" w:themeColor="text1"/>
          <w:sz w:val="24"/>
          <w:szCs w:val="24"/>
        </w:rPr>
        <w:t>qirodh</w:t>
      </w:r>
      <w:proofErr w:type="spellEnd"/>
      <w:r w:rsidRPr="002C1BA2">
        <w:rPr>
          <w:rFonts w:ascii="Book Antiqua" w:hAnsi="Book Antiqua"/>
          <w:i/>
          <w:iCs/>
          <w:color w:val="000000" w:themeColor="text1"/>
          <w:sz w:val="24"/>
          <w:szCs w:val="24"/>
        </w:rPr>
        <w:t xml:space="preserve"> contracts do not show </w:t>
      </w:r>
      <w:proofErr w:type="spellStart"/>
      <w:r w:rsidRPr="002C1BA2">
        <w:rPr>
          <w:rFonts w:ascii="Book Antiqua" w:hAnsi="Book Antiqua"/>
          <w:i/>
          <w:iCs/>
          <w:color w:val="000000" w:themeColor="text1"/>
          <w:sz w:val="24"/>
          <w:szCs w:val="24"/>
        </w:rPr>
        <w:t>dhomanul</w:t>
      </w:r>
      <w:proofErr w:type="spellEnd"/>
      <w:r w:rsidRPr="002C1BA2">
        <w:rPr>
          <w:rFonts w:ascii="Book Antiqua" w:hAnsi="Book Antiqua"/>
          <w:i/>
          <w:iCs/>
          <w:color w:val="000000" w:themeColor="text1"/>
          <w:sz w:val="24"/>
          <w:szCs w:val="24"/>
        </w:rPr>
        <w:t xml:space="preserve"> 'amil (compensation from entrepreneurs), because the impact of a </w:t>
      </w:r>
      <w:proofErr w:type="spellStart"/>
      <w:r w:rsidRPr="002C1BA2">
        <w:rPr>
          <w:rFonts w:ascii="Book Antiqua" w:hAnsi="Book Antiqua"/>
          <w:i/>
          <w:iCs/>
          <w:color w:val="000000" w:themeColor="text1"/>
          <w:sz w:val="24"/>
          <w:szCs w:val="24"/>
        </w:rPr>
        <w:t>mudharabah</w:t>
      </w:r>
      <w:proofErr w:type="spellEnd"/>
      <w:r w:rsidRPr="002C1BA2">
        <w:rPr>
          <w:rFonts w:ascii="Book Antiqua" w:hAnsi="Book Antiqua"/>
          <w:i/>
          <w:iCs/>
          <w:color w:val="000000" w:themeColor="text1"/>
          <w:sz w:val="24"/>
          <w:szCs w:val="24"/>
        </w:rPr>
        <w:t xml:space="preserve"> contract is the emergence of trust. Therefore, if the </w:t>
      </w:r>
      <w:proofErr w:type="spellStart"/>
      <w:r w:rsidRPr="002C1BA2">
        <w:rPr>
          <w:rFonts w:ascii="Book Antiqua" w:hAnsi="Book Antiqua"/>
          <w:i/>
          <w:iCs/>
          <w:color w:val="000000" w:themeColor="text1"/>
          <w:sz w:val="24"/>
          <w:szCs w:val="24"/>
        </w:rPr>
        <w:t>mudharabah</w:t>
      </w:r>
      <w:proofErr w:type="spellEnd"/>
      <w:r w:rsidRPr="002C1BA2">
        <w:rPr>
          <w:rFonts w:ascii="Book Antiqua" w:hAnsi="Book Antiqua"/>
          <w:i/>
          <w:iCs/>
          <w:color w:val="000000" w:themeColor="text1"/>
          <w:sz w:val="24"/>
          <w:szCs w:val="24"/>
        </w:rPr>
        <w:t xml:space="preserve"> contract requires a guarantee, then the </w:t>
      </w:r>
      <w:proofErr w:type="spellStart"/>
      <w:r w:rsidRPr="002C1BA2">
        <w:rPr>
          <w:rFonts w:ascii="Book Antiqua" w:hAnsi="Book Antiqua"/>
          <w:i/>
          <w:iCs/>
          <w:color w:val="000000" w:themeColor="text1"/>
          <w:sz w:val="24"/>
          <w:szCs w:val="24"/>
        </w:rPr>
        <w:t>mudharabah</w:t>
      </w:r>
      <w:proofErr w:type="spellEnd"/>
      <w:r w:rsidRPr="002C1BA2">
        <w:rPr>
          <w:rFonts w:ascii="Book Antiqua" w:hAnsi="Book Antiqua"/>
          <w:i/>
          <w:iCs/>
          <w:color w:val="000000" w:themeColor="text1"/>
          <w:sz w:val="24"/>
          <w:szCs w:val="24"/>
        </w:rPr>
        <w:t xml:space="preserve"> contract is damaged and the condition is void."</w:t>
      </w:r>
      <w:r w:rsidRPr="002C1BA2">
        <w:rPr>
          <w:rFonts w:ascii="Book Antiqua" w:hAnsi="Book Antiqua"/>
          <w:color w:val="000000" w:themeColor="text1"/>
          <w:sz w:val="24"/>
          <w:szCs w:val="24"/>
        </w:rPr>
        <w:t xml:space="preserve"> </w:t>
      </w:r>
      <w:r w:rsidRPr="002C1BA2">
        <w:rPr>
          <w:rFonts w:ascii="Book Antiqua" w:hAnsi="Book Antiqua"/>
          <w:color w:val="000000" w:themeColor="text1"/>
          <w:sz w:val="24"/>
          <w:szCs w:val="24"/>
        </w:rPr>
        <w:fldChar w:fldCharType="begin" w:fldLock="1"/>
      </w:r>
      <w:r w:rsidRPr="002C1BA2">
        <w:rPr>
          <w:rFonts w:ascii="Book Antiqua" w:hAnsi="Book Antiqua"/>
          <w:color w:val="000000" w:themeColor="text1"/>
          <w:sz w:val="24"/>
          <w:szCs w:val="24"/>
        </w:rPr>
        <w:instrText>ADDIN CSL_CITATION {"citationItems":[{"id":"ITEM-1","itemData":{"author":[{"dropping-particle":"","family":"Al-Baji","given":"","non-dropping-particle":"","parse-names":false,"suffix":""}],"id":"ITEM-1","issued":{"date-parts":[["2009"]]},"publisher":"Darul Kutub al-Ilmiyyah","publisher-place":"Beirut","title":"al-Muntaqo syarh al-Muwattho’","type":"book"},"uris":["http://www.mendeley.com/documents/?uuid=034f9f1d-ca2a-42d8-b577-b275baf6d497"]}],"mendeley":{"formattedCitation":"(Al-Baji, 2009)","plainTextFormattedCitation":"(Al-Baji, 2009)","previouslyFormattedCitation":"(Al-Baji, 2009)"},"properties":{"noteIndex":0},"schema":"https://github.com/citation-style-language/schema/raw/master/csl-citation.json"}</w:instrText>
      </w:r>
      <w:r w:rsidRPr="002C1BA2">
        <w:rPr>
          <w:rFonts w:ascii="Book Antiqua" w:hAnsi="Book Antiqua"/>
          <w:color w:val="000000" w:themeColor="text1"/>
          <w:sz w:val="24"/>
          <w:szCs w:val="24"/>
        </w:rPr>
        <w:fldChar w:fldCharType="separate"/>
      </w:r>
      <w:r w:rsidRPr="002C1BA2">
        <w:rPr>
          <w:rFonts w:ascii="Book Antiqua" w:hAnsi="Book Antiqua"/>
          <w:noProof/>
          <w:color w:val="000000" w:themeColor="text1"/>
          <w:sz w:val="24"/>
          <w:szCs w:val="24"/>
        </w:rPr>
        <w:t>(Al-Baji, 2009)</w:t>
      </w:r>
      <w:r w:rsidRPr="002C1BA2">
        <w:rPr>
          <w:rFonts w:ascii="Book Antiqua" w:hAnsi="Book Antiqua"/>
          <w:color w:val="000000" w:themeColor="text1"/>
          <w:sz w:val="24"/>
          <w:szCs w:val="24"/>
        </w:rPr>
        <w:fldChar w:fldCharType="end"/>
      </w:r>
      <w:r w:rsidRPr="002C1BA2">
        <w:rPr>
          <w:rFonts w:ascii="Book Antiqua" w:hAnsi="Book Antiqua"/>
          <w:color w:val="000000" w:themeColor="text1"/>
          <w:sz w:val="24"/>
          <w:szCs w:val="24"/>
        </w:rPr>
        <w:t xml:space="preserve"> </w:t>
      </w:r>
    </w:p>
    <w:p w14:paraId="5AF6A247" w14:textId="77777777" w:rsidR="002C1BA2" w:rsidRPr="002C1BA2" w:rsidRDefault="002C1BA2" w:rsidP="002C1BA2">
      <w:pPr>
        <w:pStyle w:val="ListParagraph"/>
        <w:spacing w:after="0" w:line="240" w:lineRule="auto"/>
        <w:ind w:left="788"/>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 (Al-</w:t>
      </w:r>
      <w:proofErr w:type="spellStart"/>
      <w:r w:rsidRPr="002C1BA2">
        <w:rPr>
          <w:rFonts w:ascii="Book Antiqua" w:hAnsi="Book Antiqua"/>
          <w:color w:val="000000" w:themeColor="text1"/>
          <w:sz w:val="24"/>
          <w:szCs w:val="24"/>
        </w:rPr>
        <w:t>Baji</w:t>
      </w:r>
      <w:proofErr w:type="spellEnd"/>
      <w:r w:rsidRPr="002C1BA2">
        <w:rPr>
          <w:rFonts w:ascii="Book Antiqua" w:hAnsi="Book Antiqua"/>
          <w:color w:val="000000" w:themeColor="text1"/>
          <w:sz w:val="24"/>
          <w:szCs w:val="24"/>
        </w:rPr>
        <w:t>, 2009)</w:t>
      </w:r>
    </w:p>
    <w:p w14:paraId="42BC64E5" w14:textId="77777777" w:rsidR="002C1BA2" w:rsidRPr="002C1BA2" w:rsidRDefault="002C1BA2" w:rsidP="002C1BA2">
      <w:pPr>
        <w:pStyle w:val="ListParagraph"/>
        <w:numPr>
          <w:ilvl w:val="0"/>
          <w:numId w:val="46"/>
        </w:numPr>
        <w:spacing w:after="0" w:line="240" w:lineRule="auto"/>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Requiring a guarantee in the </w:t>
      </w:r>
      <w:proofErr w:type="spellStart"/>
      <w:r w:rsidRPr="002C1BA2">
        <w:rPr>
          <w:rFonts w:ascii="Book Antiqua" w:hAnsi="Book Antiqua"/>
          <w:color w:val="000000" w:themeColor="text1"/>
          <w:sz w:val="24"/>
          <w:szCs w:val="24"/>
        </w:rPr>
        <w:t>mudharabah</w:t>
      </w:r>
      <w:proofErr w:type="spellEnd"/>
      <w:r w:rsidRPr="002C1BA2">
        <w:rPr>
          <w:rFonts w:ascii="Book Antiqua" w:hAnsi="Book Antiqua"/>
          <w:color w:val="000000" w:themeColor="text1"/>
          <w:sz w:val="24"/>
          <w:szCs w:val="24"/>
        </w:rPr>
        <w:t xml:space="preserve"> contract will instead change the </w:t>
      </w:r>
      <w:proofErr w:type="spellStart"/>
      <w:r w:rsidRPr="002C1BA2">
        <w:rPr>
          <w:rFonts w:ascii="Book Antiqua" w:hAnsi="Book Antiqua"/>
          <w:i/>
          <w:iCs/>
          <w:color w:val="000000" w:themeColor="text1"/>
          <w:sz w:val="24"/>
          <w:szCs w:val="24"/>
        </w:rPr>
        <w:t>mudharabah</w:t>
      </w:r>
      <w:proofErr w:type="spellEnd"/>
      <w:r w:rsidRPr="002C1BA2">
        <w:rPr>
          <w:rFonts w:ascii="Book Antiqua" w:hAnsi="Book Antiqua"/>
          <w:i/>
          <w:iCs/>
          <w:color w:val="000000" w:themeColor="text1"/>
          <w:sz w:val="24"/>
          <w:szCs w:val="24"/>
        </w:rPr>
        <w:t xml:space="preserve"> </w:t>
      </w:r>
      <w:r w:rsidRPr="002C1BA2">
        <w:rPr>
          <w:rFonts w:ascii="Book Antiqua" w:hAnsi="Book Antiqua"/>
          <w:color w:val="000000" w:themeColor="text1"/>
          <w:sz w:val="24"/>
          <w:szCs w:val="24"/>
        </w:rPr>
        <w:t xml:space="preserve">contract into a contract based on compensation or debt, and will change the position of the </w:t>
      </w:r>
      <w:proofErr w:type="spellStart"/>
      <w:r w:rsidRPr="002C1BA2">
        <w:rPr>
          <w:rFonts w:ascii="Book Antiqua" w:hAnsi="Book Antiqua"/>
          <w:i/>
          <w:iCs/>
          <w:color w:val="000000" w:themeColor="text1"/>
          <w:sz w:val="24"/>
          <w:szCs w:val="24"/>
        </w:rPr>
        <w:t>mudharib</w:t>
      </w:r>
      <w:proofErr w:type="spellEnd"/>
      <w:r w:rsidRPr="002C1BA2">
        <w:rPr>
          <w:rFonts w:ascii="Book Antiqua" w:hAnsi="Book Antiqua"/>
          <w:color w:val="000000" w:themeColor="text1"/>
          <w:sz w:val="24"/>
          <w:szCs w:val="24"/>
        </w:rPr>
        <w:t xml:space="preserve"> from being a representative entrusted with the mandate to manage </w:t>
      </w:r>
      <w:proofErr w:type="spellStart"/>
      <w:r w:rsidRPr="002C1BA2">
        <w:rPr>
          <w:rFonts w:ascii="Book Antiqua" w:hAnsi="Book Antiqua"/>
          <w:color w:val="000000" w:themeColor="text1"/>
          <w:sz w:val="24"/>
          <w:szCs w:val="24"/>
        </w:rPr>
        <w:t>mudharabah</w:t>
      </w:r>
      <w:proofErr w:type="spellEnd"/>
      <w:r w:rsidRPr="002C1BA2">
        <w:rPr>
          <w:rFonts w:ascii="Book Antiqua" w:hAnsi="Book Antiqua"/>
          <w:color w:val="000000" w:themeColor="text1"/>
          <w:sz w:val="24"/>
          <w:szCs w:val="24"/>
        </w:rPr>
        <w:t xml:space="preserve"> capital, to being a debtor who is obliged to provide guarantees, so that such conditions cannot be This is in accordance with the </w:t>
      </w:r>
      <w:proofErr w:type="spellStart"/>
      <w:r w:rsidRPr="002C1BA2">
        <w:rPr>
          <w:rFonts w:ascii="Book Antiqua" w:hAnsi="Book Antiqua"/>
          <w:color w:val="000000" w:themeColor="text1"/>
          <w:sz w:val="24"/>
          <w:szCs w:val="24"/>
        </w:rPr>
        <w:t>fiqhiyyah</w:t>
      </w:r>
      <w:proofErr w:type="spellEnd"/>
      <w:r w:rsidRPr="002C1BA2">
        <w:rPr>
          <w:rFonts w:ascii="Book Antiqua" w:hAnsi="Book Antiqua"/>
          <w:color w:val="000000" w:themeColor="text1"/>
          <w:sz w:val="24"/>
          <w:szCs w:val="24"/>
        </w:rPr>
        <w:t xml:space="preserve"> rules:</w:t>
      </w:r>
    </w:p>
    <w:p w14:paraId="50777CA2" w14:textId="77777777" w:rsidR="002C1BA2" w:rsidRPr="002C1BA2" w:rsidRDefault="002C1BA2" w:rsidP="002C1BA2">
      <w:pPr>
        <w:bidi/>
        <w:jc w:val="both"/>
        <w:rPr>
          <w:rFonts w:ascii="Book Antiqua" w:hAnsi="Book Antiqua" w:cs="Arabic Typesetting"/>
          <w:color w:val="000000" w:themeColor="text1"/>
          <w:sz w:val="24"/>
          <w:szCs w:val="24"/>
          <w:lang w:val="en-GB"/>
        </w:rPr>
      </w:pPr>
      <w:r w:rsidRPr="002C1BA2">
        <w:rPr>
          <w:rFonts w:ascii="Book Antiqua" w:hAnsi="Book Antiqua" w:cs="Arabic Typesetting"/>
          <w:color w:val="000000" w:themeColor="text1"/>
          <w:sz w:val="24"/>
          <w:szCs w:val="24"/>
          <w:shd w:val="clear" w:color="auto" w:fill="FFFFFF"/>
          <w:rtl/>
        </w:rPr>
        <w:t>العبرة في العقود بالمقاصد</w:t>
      </w:r>
      <w:r w:rsidRPr="002C1BA2">
        <w:rPr>
          <w:rFonts w:ascii="Book Antiqua" w:hAnsi="Book Antiqua" w:cs="Arabic Typesetting"/>
          <w:color w:val="000000" w:themeColor="text1"/>
          <w:sz w:val="24"/>
          <w:szCs w:val="24"/>
          <w:shd w:val="clear" w:color="auto" w:fill="FFFFFF"/>
        </w:rPr>
        <w:t> </w:t>
      </w:r>
      <w:r w:rsidRPr="002C1BA2">
        <w:rPr>
          <w:rFonts w:ascii="Book Antiqua" w:hAnsi="Book Antiqua" w:cs="Arabic Typesetting"/>
          <w:color w:val="000000" w:themeColor="text1"/>
          <w:sz w:val="24"/>
          <w:szCs w:val="24"/>
          <w:shd w:val="clear" w:color="auto" w:fill="FFFFFF"/>
          <w:rtl/>
        </w:rPr>
        <w:t>والمعاني لا بالألفاظ والمباني</w:t>
      </w:r>
    </w:p>
    <w:p w14:paraId="12F52BB8" w14:textId="77777777" w:rsidR="002C1BA2" w:rsidRPr="002C1BA2" w:rsidRDefault="002C1BA2" w:rsidP="002C1BA2">
      <w:pPr>
        <w:pStyle w:val="ListParagraph"/>
        <w:spacing w:after="0" w:line="240" w:lineRule="auto"/>
        <w:ind w:left="786"/>
        <w:jc w:val="both"/>
        <w:rPr>
          <w:rFonts w:ascii="Book Antiqua" w:hAnsi="Book Antiqua"/>
          <w:i/>
          <w:iCs/>
          <w:color w:val="000000" w:themeColor="text1"/>
          <w:sz w:val="24"/>
          <w:szCs w:val="24"/>
          <w:shd w:val="clear" w:color="auto" w:fill="FFFFFF"/>
        </w:rPr>
      </w:pPr>
      <w:r w:rsidRPr="002C1BA2">
        <w:rPr>
          <w:rFonts w:ascii="Book Antiqua" w:hAnsi="Book Antiqua"/>
          <w:i/>
          <w:iCs/>
          <w:color w:val="000000" w:themeColor="text1"/>
          <w:sz w:val="24"/>
          <w:szCs w:val="24"/>
          <w:shd w:val="clear" w:color="auto" w:fill="FFFFFF"/>
        </w:rPr>
        <w:t>The thing that is considered in the contract is the goal, not the wording.</w:t>
      </w:r>
    </w:p>
    <w:p w14:paraId="629AF5A7" w14:textId="77777777" w:rsidR="002C1BA2" w:rsidRPr="002C1BA2" w:rsidRDefault="002C1BA2" w:rsidP="002C1BA2">
      <w:pPr>
        <w:pStyle w:val="ListParagraph"/>
        <w:spacing w:after="0" w:line="240" w:lineRule="auto"/>
        <w:ind w:left="786"/>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The consequence of the </w:t>
      </w:r>
      <w:proofErr w:type="spellStart"/>
      <w:r w:rsidRPr="002C1BA2">
        <w:rPr>
          <w:rFonts w:ascii="Book Antiqua" w:hAnsi="Book Antiqua"/>
          <w:color w:val="000000" w:themeColor="text1"/>
          <w:sz w:val="24"/>
          <w:szCs w:val="24"/>
        </w:rPr>
        <w:t>fiqhiyyah</w:t>
      </w:r>
      <w:proofErr w:type="spellEnd"/>
      <w:r w:rsidRPr="002C1BA2">
        <w:rPr>
          <w:rFonts w:ascii="Book Antiqua" w:hAnsi="Book Antiqua"/>
          <w:color w:val="000000" w:themeColor="text1"/>
          <w:sz w:val="24"/>
          <w:szCs w:val="24"/>
        </w:rPr>
        <w:t xml:space="preserve"> rules above is that even though a contract is called a </w:t>
      </w:r>
      <w:proofErr w:type="spellStart"/>
      <w:r w:rsidRPr="002C1BA2">
        <w:rPr>
          <w:rFonts w:ascii="Book Antiqua" w:hAnsi="Book Antiqua"/>
          <w:i/>
          <w:iCs/>
          <w:color w:val="000000" w:themeColor="text1"/>
          <w:sz w:val="24"/>
          <w:szCs w:val="24"/>
        </w:rPr>
        <w:t>mudharabah</w:t>
      </w:r>
      <w:proofErr w:type="spellEnd"/>
      <w:r w:rsidRPr="002C1BA2">
        <w:rPr>
          <w:rFonts w:ascii="Book Antiqua" w:hAnsi="Book Antiqua"/>
          <w:color w:val="000000" w:themeColor="text1"/>
          <w:sz w:val="24"/>
          <w:szCs w:val="24"/>
        </w:rPr>
        <w:t xml:space="preserve"> contract, if the purpose is not like that of the </w:t>
      </w:r>
      <w:proofErr w:type="spellStart"/>
      <w:r w:rsidRPr="002C1BA2">
        <w:rPr>
          <w:rFonts w:ascii="Book Antiqua" w:hAnsi="Book Antiqua"/>
          <w:i/>
          <w:iCs/>
          <w:color w:val="000000" w:themeColor="text1"/>
          <w:sz w:val="24"/>
          <w:szCs w:val="24"/>
        </w:rPr>
        <w:t>mudharabah</w:t>
      </w:r>
      <w:proofErr w:type="spellEnd"/>
      <w:r w:rsidRPr="002C1BA2">
        <w:rPr>
          <w:rFonts w:ascii="Book Antiqua" w:hAnsi="Book Antiqua"/>
          <w:color w:val="000000" w:themeColor="text1"/>
          <w:sz w:val="24"/>
          <w:szCs w:val="24"/>
        </w:rPr>
        <w:t xml:space="preserve">, then the contract cannot be interpreted as a </w:t>
      </w:r>
      <w:proofErr w:type="spellStart"/>
      <w:r w:rsidRPr="002C1BA2">
        <w:rPr>
          <w:rFonts w:ascii="Book Antiqua" w:hAnsi="Book Antiqua"/>
          <w:i/>
          <w:iCs/>
          <w:color w:val="000000" w:themeColor="text1"/>
          <w:sz w:val="24"/>
          <w:szCs w:val="24"/>
        </w:rPr>
        <w:t>mudharabah</w:t>
      </w:r>
      <w:proofErr w:type="spellEnd"/>
      <w:r w:rsidRPr="002C1BA2">
        <w:rPr>
          <w:rFonts w:ascii="Book Antiqua" w:hAnsi="Book Antiqua"/>
          <w:color w:val="000000" w:themeColor="text1"/>
          <w:sz w:val="24"/>
          <w:szCs w:val="24"/>
        </w:rPr>
        <w:t xml:space="preserve"> contract.</w:t>
      </w:r>
    </w:p>
    <w:p w14:paraId="6DCEF044" w14:textId="77777777" w:rsidR="002C1BA2" w:rsidRPr="002C1BA2" w:rsidRDefault="002C1BA2" w:rsidP="002C1BA2">
      <w:pPr>
        <w:pStyle w:val="ListParagraph"/>
        <w:numPr>
          <w:ilvl w:val="0"/>
          <w:numId w:val="46"/>
        </w:numPr>
        <w:spacing w:after="0" w:line="240" w:lineRule="auto"/>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The application of guarantees as a condition for </w:t>
      </w:r>
      <w:proofErr w:type="spellStart"/>
      <w:r w:rsidRPr="002C1BA2">
        <w:rPr>
          <w:rFonts w:ascii="Book Antiqua" w:hAnsi="Book Antiqua"/>
          <w:i/>
          <w:iCs/>
          <w:color w:val="000000" w:themeColor="text1"/>
          <w:sz w:val="24"/>
          <w:szCs w:val="24"/>
        </w:rPr>
        <w:t>mudharabah</w:t>
      </w:r>
      <w:proofErr w:type="spellEnd"/>
      <w:r w:rsidRPr="002C1BA2">
        <w:rPr>
          <w:rFonts w:ascii="Book Antiqua" w:hAnsi="Book Antiqua"/>
          <w:color w:val="000000" w:themeColor="text1"/>
          <w:sz w:val="24"/>
          <w:szCs w:val="24"/>
        </w:rPr>
        <w:t xml:space="preserve"> is a form of </w:t>
      </w:r>
      <w:proofErr w:type="spellStart"/>
      <w:r w:rsidRPr="002C1BA2">
        <w:rPr>
          <w:rFonts w:ascii="Book Antiqua" w:hAnsi="Book Antiqua"/>
          <w:i/>
          <w:iCs/>
          <w:color w:val="000000" w:themeColor="text1"/>
          <w:sz w:val="24"/>
          <w:szCs w:val="24"/>
        </w:rPr>
        <w:t>gharar</w:t>
      </w:r>
      <w:proofErr w:type="spellEnd"/>
      <w:r w:rsidRPr="002C1BA2">
        <w:rPr>
          <w:rFonts w:ascii="Book Antiqua" w:hAnsi="Book Antiqua"/>
          <w:color w:val="000000" w:themeColor="text1"/>
          <w:sz w:val="24"/>
          <w:szCs w:val="24"/>
        </w:rPr>
        <w:t xml:space="preserve"> (deception) </w:t>
      </w:r>
      <w:r w:rsidRPr="002C1BA2">
        <w:rPr>
          <w:rFonts w:ascii="Book Antiqua" w:hAnsi="Book Antiqua"/>
          <w:color w:val="000000" w:themeColor="text1"/>
          <w:sz w:val="24"/>
          <w:szCs w:val="24"/>
        </w:rPr>
        <w:fldChar w:fldCharType="begin" w:fldLock="1"/>
      </w:r>
      <w:r w:rsidRPr="002C1BA2">
        <w:rPr>
          <w:rFonts w:ascii="Book Antiqua" w:hAnsi="Book Antiqua"/>
          <w:color w:val="000000" w:themeColor="text1"/>
          <w:sz w:val="24"/>
          <w:szCs w:val="24"/>
        </w:rPr>
        <w:instrText>ADDIN CSL_CITATION {"citationItems":[{"id":"ITEM-1","itemData":{"author":[{"dropping-particle":"","family":"Ibnu Rusyd","given":"","non-dropping-particle":"","parse-names":false,"suffix":""}],"id":"ITEM-1","issued":{"date-parts":[["2018"]]},"publisher":"Darul Kutub al-Ilmiyyah","publisher-place":"Beirut","title":"Bidayatul Mujtahid","type":"book"},"uris":["http://www.mendeley.com/documents/?uuid=b533d62c-2ea9-409f-a6bc-061a292e3af8"]}],"mendeley":{"formattedCitation":"(Ibnu Rusyd, 2018)","plainTextFormattedCitation":"(Ibnu Rusyd, 2018)","previouslyFormattedCitation":"(Ibnu Rusyd, 2018)"},"properties":{"noteIndex":0},"schema":"https://github.com/citation-style-language/schema/raw/master/csl-citation.json"}</w:instrText>
      </w:r>
      <w:r w:rsidRPr="002C1BA2">
        <w:rPr>
          <w:rFonts w:ascii="Book Antiqua" w:hAnsi="Book Antiqua"/>
          <w:color w:val="000000" w:themeColor="text1"/>
          <w:sz w:val="24"/>
          <w:szCs w:val="24"/>
        </w:rPr>
        <w:fldChar w:fldCharType="separate"/>
      </w:r>
      <w:r w:rsidRPr="002C1BA2">
        <w:rPr>
          <w:rFonts w:ascii="Book Antiqua" w:hAnsi="Book Antiqua"/>
          <w:noProof/>
          <w:color w:val="000000" w:themeColor="text1"/>
          <w:sz w:val="24"/>
          <w:szCs w:val="24"/>
        </w:rPr>
        <w:t>(Ibnu Rusyd, 2018)</w:t>
      </w:r>
      <w:r w:rsidRPr="002C1BA2">
        <w:rPr>
          <w:rFonts w:ascii="Book Antiqua" w:hAnsi="Book Antiqua"/>
          <w:color w:val="000000" w:themeColor="text1"/>
          <w:sz w:val="24"/>
          <w:szCs w:val="24"/>
        </w:rPr>
        <w:fldChar w:fldCharType="end"/>
      </w:r>
      <w:r w:rsidRPr="002C1BA2">
        <w:rPr>
          <w:rFonts w:ascii="Book Antiqua" w:hAnsi="Book Antiqua"/>
          <w:color w:val="000000" w:themeColor="text1"/>
          <w:sz w:val="24"/>
          <w:szCs w:val="24"/>
        </w:rPr>
        <w:t xml:space="preserve">. The guarantee in </w:t>
      </w:r>
      <w:proofErr w:type="spellStart"/>
      <w:r w:rsidRPr="002C1BA2">
        <w:rPr>
          <w:rFonts w:ascii="Book Antiqua" w:hAnsi="Book Antiqua"/>
          <w:i/>
          <w:iCs/>
          <w:color w:val="000000" w:themeColor="text1"/>
          <w:sz w:val="24"/>
          <w:szCs w:val="24"/>
        </w:rPr>
        <w:t>mudharabah</w:t>
      </w:r>
      <w:proofErr w:type="spellEnd"/>
      <w:r w:rsidRPr="002C1BA2">
        <w:rPr>
          <w:rFonts w:ascii="Book Antiqua" w:hAnsi="Book Antiqua"/>
          <w:color w:val="000000" w:themeColor="text1"/>
          <w:sz w:val="24"/>
          <w:szCs w:val="24"/>
        </w:rPr>
        <w:t xml:space="preserve"> is considered </w:t>
      </w:r>
      <w:proofErr w:type="spellStart"/>
      <w:r w:rsidRPr="002C1BA2">
        <w:rPr>
          <w:rFonts w:ascii="Book Antiqua" w:hAnsi="Book Antiqua"/>
          <w:color w:val="000000" w:themeColor="text1"/>
          <w:sz w:val="24"/>
          <w:szCs w:val="24"/>
        </w:rPr>
        <w:t>gharar</w:t>
      </w:r>
      <w:proofErr w:type="spellEnd"/>
      <w:r w:rsidRPr="002C1BA2">
        <w:rPr>
          <w:rFonts w:ascii="Book Antiqua" w:hAnsi="Book Antiqua"/>
          <w:color w:val="000000" w:themeColor="text1"/>
          <w:sz w:val="24"/>
          <w:szCs w:val="24"/>
        </w:rPr>
        <w:t xml:space="preserve">, because when the </w:t>
      </w:r>
      <w:proofErr w:type="spellStart"/>
      <w:r w:rsidRPr="002C1BA2">
        <w:rPr>
          <w:rFonts w:ascii="Book Antiqua" w:hAnsi="Book Antiqua"/>
          <w:i/>
          <w:iCs/>
          <w:color w:val="000000" w:themeColor="text1"/>
          <w:sz w:val="24"/>
          <w:szCs w:val="24"/>
        </w:rPr>
        <w:t>mudharib</w:t>
      </w:r>
      <w:proofErr w:type="spellEnd"/>
      <w:r w:rsidRPr="002C1BA2">
        <w:rPr>
          <w:rFonts w:ascii="Book Antiqua" w:hAnsi="Book Antiqua"/>
          <w:color w:val="000000" w:themeColor="text1"/>
          <w:sz w:val="24"/>
          <w:szCs w:val="24"/>
        </w:rPr>
        <w:t xml:space="preserve"> loses in his business, he will lose twice, namely the loss because he does not get wages for his efforts in managing the business capital, and the loss because he has to compensate for the loss of business capital with the guarantee.</w:t>
      </w:r>
    </w:p>
    <w:p w14:paraId="36E4506C" w14:textId="77777777" w:rsidR="002C1BA2" w:rsidRPr="002C1BA2" w:rsidRDefault="002C1BA2" w:rsidP="002C1BA2">
      <w:pPr>
        <w:pStyle w:val="ListParagraph"/>
        <w:numPr>
          <w:ilvl w:val="0"/>
          <w:numId w:val="45"/>
        </w:numPr>
        <w:spacing w:after="0" w:line="240" w:lineRule="auto"/>
        <w:ind w:left="426" w:hanging="426"/>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Opinions that justify the existence of </w:t>
      </w:r>
      <w:proofErr w:type="spellStart"/>
      <w:r w:rsidRPr="002C1BA2">
        <w:rPr>
          <w:rFonts w:ascii="Book Antiqua" w:hAnsi="Book Antiqua"/>
          <w:i/>
          <w:iCs/>
          <w:color w:val="000000" w:themeColor="text1"/>
          <w:sz w:val="24"/>
          <w:szCs w:val="24"/>
        </w:rPr>
        <w:t>mudharabah</w:t>
      </w:r>
      <w:proofErr w:type="spellEnd"/>
      <w:r w:rsidRPr="002C1BA2">
        <w:rPr>
          <w:rFonts w:ascii="Book Antiqua" w:hAnsi="Book Antiqua"/>
          <w:i/>
          <w:iCs/>
          <w:color w:val="000000" w:themeColor="text1"/>
          <w:sz w:val="24"/>
          <w:szCs w:val="24"/>
        </w:rPr>
        <w:t xml:space="preserve"> </w:t>
      </w:r>
      <w:r w:rsidRPr="002C1BA2">
        <w:rPr>
          <w:rFonts w:ascii="Book Antiqua" w:hAnsi="Book Antiqua"/>
          <w:color w:val="000000" w:themeColor="text1"/>
          <w:sz w:val="24"/>
          <w:szCs w:val="24"/>
        </w:rPr>
        <w:t>guarantees.</w:t>
      </w:r>
    </w:p>
    <w:p w14:paraId="6FEE127A" w14:textId="77777777" w:rsidR="002C1BA2" w:rsidRPr="002C1BA2" w:rsidRDefault="002C1BA2" w:rsidP="002C1BA2">
      <w:pPr>
        <w:pStyle w:val="ListParagraph"/>
        <w:spacing w:after="0" w:line="240" w:lineRule="auto"/>
        <w:ind w:left="426"/>
        <w:jc w:val="both"/>
        <w:rPr>
          <w:rFonts w:ascii="Book Antiqua" w:hAnsi="Book Antiqua"/>
          <w:color w:val="000000" w:themeColor="text1"/>
          <w:sz w:val="24"/>
          <w:szCs w:val="24"/>
        </w:rPr>
      </w:pPr>
      <w:r w:rsidRPr="002C1BA2">
        <w:rPr>
          <w:rFonts w:ascii="Book Antiqua" w:hAnsi="Book Antiqua"/>
          <w:color w:val="000000" w:themeColor="text1"/>
          <w:sz w:val="24"/>
          <w:szCs w:val="24"/>
        </w:rPr>
        <w:lastRenderedPageBreak/>
        <w:t xml:space="preserve">This opinion is the opinion of a group of </w:t>
      </w:r>
      <w:proofErr w:type="spellStart"/>
      <w:r w:rsidRPr="002C1BA2">
        <w:rPr>
          <w:rFonts w:ascii="Book Antiqua" w:hAnsi="Book Antiqua"/>
          <w:color w:val="000000" w:themeColor="text1"/>
          <w:sz w:val="24"/>
          <w:szCs w:val="24"/>
        </w:rPr>
        <w:t>fiqh</w:t>
      </w:r>
      <w:proofErr w:type="spellEnd"/>
      <w:r w:rsidRPr="002C1BA2">
        <w:rPr>
          <w:rFonts w:ascii="Book Antiqua" w:hAnsi="Book Antiqua"/>
          <w:color w:val="000000" w:themeColor="text1"/>
          <w:sz w:val="24"/>
          <w:szCs w:val="24"/>
        </w:rPr>
        <w:t xml:space="preserve"> experts such as Imam Ahmad bin </w:t>
      </w:r>
      <w:proofErr w:type="spellStart"/>
      <w:r w:rsidRPr="002C1BA2">
        <w:rPr>
          <w:rFonts w:ascii="Book Antiqua" w:hAnsi="Book Antiqua"/>
          <w:color w:val="000000" w:themeColor="text1"/>
          <w:sz w:val="24"/>
          <w:szCs w:val="24"/>
        </w:rPr>
        <w:t>Hambal</w:t>
      </w:r>
      <w:proofErr w:type="spellEnd"/>
      <w:r w:rsidRPr="002C1BA2">
        <w:rPr>
          <w:rFonts w:ascii="Book Antiqua" w:hAnsi="Book Antiqua"/>
          <w:color w:val="000000" w:themeColor="text1"/>
          <w:sz w:val="24"/>
          <w:szCs w:val="24"/>
        </w:rPr>
        <w:t xml:space="preserve"> in one of his narrations which is </w:t>
      </w:r>
      <w:proofErr w:type="spellStart"/>
      <w:r w:rsidRPr="002C1BA2">
        <w:rPr>
          <w:rFonts w:ascii="Book Antiqua" w:hAnsi="Book Antiqua"/>
          <w:i/>
          <w:iCs/>
          <w:color w:val="000000" w:themeColor="text1"/>
          <w:sz w:val="24"/>
          <w:szCs w:val="24"/>
        </w:rPr>
        <w:t>marjuh</w:t>
      </w:r>
      <w:proofErr w:type="spellEnd"/>
      <w:r w:rsidRPr="002C1BA2">
        <w:rPr>
          <w:rFonts w:ascii="Book Antiqua" w:hAnsi="Book Antiqua"/>
          <w:color w:val="000000" w:themeColor="text1"/>
          <w:sz w:val="24"/>
          <w:szCs w:val="24"/>
        </w:rPr>
        <w:t xml:space="preserve"> (weak), and ash-</w:t>
      </w:r>
      <w:proofErr w:type="spellStart"/>
      <w:r w:rsidRPr="002C1BA2">
        <w:rPr>
          <w:rFonts w:ascii="Book Antiqua" w:hAnsi="Book Antiqua"/>
          <w:color w:val="000000" w:themeColor="text1"/>
          <w:sz w:val="24"/>
          <w:szCs w:val="24"/>
        </w:rPr>
        <w:t>Syaukani</w:t>
      </w:r>
      <w:proofErr w:type="spellEnd"/>
      <w:r w:rsidRPr="002C1BA2">
        <w:rPr>
          <w:rFonts w:ascii="Book Antiqua" w:hAnsi="Book Antiqua"/>
          <w:color w:val="000000" w:themeColor="text1"/>
          <w:sz w:val="24"/>
          <w:szCs w:val="24"/>
        </w:rPr>
        <w:t>. Among the arguments for this opinion are:</w:t>
      </w:r>
    </w:p>
    <w:p w14:paraId="1B47CAF5" w14:textId="77777777" w:rsidR="002C1BA2" w:rsidRPr="002C1BA2" w:rsidRDefault="002C1BA2" w:rsidP="002C1BA2">
      <w:pPr>
        <w:pStyle w:val="ListParagraph"/>
        <w:spacing w:after="0" w:line="240" w:lineRule="auto"/>
        <w:ind w:left="786"/>
        <w:jc w:val="both"/>
        <w:rPr>
          <w:rFonts w:ascii="Book Antiqua" w:hAnsi="Book Antiqua"/>
          <w:color w:val="000000" w:themeColor="text1"/>
          <w:sz w:val="24"/>
          <w:szCs w:val="24"/>
        </w:rPr>
      </w:pPr>
      <w:r w:rsidRPr="002C1BA2">
        <w:rPr>
          <w:rFonts w:ascii="Book Antiqua" w:hAnsi="Book Antiqua"/>
          <w:color w:val="000000" w:themeColor="text1"/>
          <w:sz w:val="24"/>
          <w:szCs w:val="24"/>
        </w:rPr>
        <w:t>- Hadith of the Prophet:</w:t>
      </w:r>
    </w:p>
    <w:p w14:paraId="2C41DD91" w14:textId="77777777" w:rsidR="002C1BA2" w:rsidRPr="002C1BA2" w:rsidRDefault="002C1BA2" w:rsidP="002C1BA2">
      <w:pPr>
        <w:bidi/>
        <w:ind w:left="4" w:right="1418"/>
        <w:jc w:val="both"/>
        <w:rPr>
          <w:rFonts w:ascii="Book Antiqua" w:hAnsi="Book Antiqua" w:cs="Arabic Typesetting"/>
          <w:color w:val="000000" w:themeColor="text1"/>
          <w:sz w:val="24"/>
          <w:szCs w:val="24"/>
          <w:rtl/>
          <w:lang w:val="en-GB"/>
        </w:rPr>
      </w:pPr>
      <w:r w:rsidRPr="002C1BA2">
        <w:rPr>
          <w:rFonts w:ascii="Book Antiqua" w:hAnsi="Book Antiqua" w:cs="Arabic Typesetting"/>
          <w:color w:val="000000" w:themeColor="text1"/>
          <w:sz w:val="24"/>
          <w:szCs w:val="24"/>
          <w:rtl/>
          <w:lang w:val="en-GB"/>
        </w:rPr>
        <w:t>المسلمون على شروطهم (رواه أبو داود)</w:t>
      </w:r>
    </w:p>
    <w:p w14:paraId="75DDBEDE" w14:textId="77777777" w:rsidR="002C1BA2" w:rsidRPr="002C1BA2" w:rsidRDefault="002C1BA2" w:rsidP="002C1BA2">
      <w:pPr>
        <w:pStyle w:val="ListParagraph"/>
        <w:spacing w:after="0" w:line="240" w:lineRule="auto"/>
        <w:ind w:left="851" w:right="4"/>
        <w:jc w:val="both"/>
        <w:rPr>
          <w:rFonts w:ascii="Book Antiqua" w:hAnsi="Book Antiqua"/>
          <w:color w:val="000000" w:themeColor="text1"/>
          <w:sz w:val="24"/>
          <w:szCs w:val="24"/>
          <w:shd w:val="clear" w:color="auto" w:fill="FFFFFF"/>
        </w:rPr>
      </w:pPr>
      <w:r w:rsidRPr="002C1BA2">
        <w:rPr>
          <w:rFonts w:ascii="Book Antiqua" w:hAnsi="Book Antiqua"/>
          <w:i/>
          <w:iCs/>
          <w:color w:val="000000" w:themeColor="text1"/>
          <w:sz w:val="24"/>
          <w:szCs w:val="24"/>
          <w:shd w:val="clear" w:color="auto" w:fill="FFFFFF"/>
        </w:rPr>
        <w:t>"Muslims are obliged to obey the agreement they have agreed to."</w:t>
      </w:r>
      <w:r w:rsidRPr="002C1BA2">
        <w:rPr>
          <w:rFonts w:ascii="Book Antiqua" w:hAnsi="Book Antiqua"/>
          <w:color w:val="000000" w:themeColor="text1"/>
          <w:sz w:val="24"/>
          <w:szCs w:val="24"/>
          <w:shd w:val="clear" w:color="auto" w:fill="FFFFFF"/>
        </w:rPr>
        <w:t xml:space="preserve">  (HR. Abu Daud) </w:t>
      </w:r>
      <w:r w:rsidRPr="002C1BA2">
        <w:rPr>
          <w:rFonts w:ascii="Book Antiqua" w:hAnsi="Book Antiqua"/>
          <w:color w:val="000000" w:themeColor="text1"/>
          <w:sz w:val="24"/>
          <w:szCs w:val="24"/>
          <w:shd w:val="clear" w:color="auto" w:fill="FFFFFF"/>
        </w:rPr>
        <w:fldChar w:fldCharType="begin" w:fldLock="1"/>
      </w:r>
      <w:r w:rsidRPr="002C1BA2">
        <w:rPr>
          <w:rFonts w:ascii="Book Antiqua" w:hAnsi="Book Antiqua"/>
          <w:color w:val="000000" w:themeColor="text1"/>
          <w:sz w:val="24"/>
          <w:szCs w:val="24"/>
          <w:shd w:val="clear" w:color="auto" w:fill="FFFFFF"/>
        </w:rPr>
        <w:instrText>ADDIN CSL_CITATION {"citationItems":[{"id":"ITEM-1","itemData":{"author":[{"dropping-particle":"","family":"Abu Daud","given":"","non-dropping-particle":"","parse-names":false,"suffix":""}],"editor":[{"dropping-particle":"","family":"Al-Ashriyyah","given":"Al-Maktabah","non-dropping-particle":"","parse-names":false,"suffix":""}],"id":"ITEM-1","issued":{"date-parts":[["2014"]]},"publisher-place":"Beirut","title":"Sunan Abu Daud","type":"book"},"uris":["http://www.mendeley.com/documents/?uuid=482a728f-c070-4107-aea4-e9cc294b3a56"]}],"mendeley":{"formattedCitation":"(Abu Daud, 2014)","plainTextFormattedCitation":"(Abu Daud, 2014)","previouslyFormattedCitation":"(Abu Daud, 2014)"},"properties":{"noteIndex":0},"schema":"https://github.com/citation-style-language/schema/raw/master/csl-citation.json"}</w:instrText>
      </w:r>
      <w:r w:rsidRPr="002C1BA2">
        <w:rPr>
          <w:rFonts w:ascii="Book Antiqua" w:hAnsi="Book Antiqua"/>
          <w:color w:val="000000" w:themeColor="text1"/>
          <w:sz w:val="24"/>
          <w:szCs w:val="24"/>
          <w:shd w:val="clear" w:color="auto" w:fill="FFFFFF"/>
        </w:rPr>
        <w:fldChar w:fldCharType="separate"/>
      </w:r>
      <w:r w:rsidRPr="002C1BA2">
        <w:rPr>
          <w:rFonts w:ascii="Book Antiqua" w:hAnsi="Book Antiqua"/>
          <w:noProof/>
          <w:color w:val="000000" w:themeColor="text1"/>
          <w:sz w:val="24"/>
          <w:szCs w:val="24"/>
          <w:shd w:val="clear" w:color="auto" w:fill="FFFFFF"/>
        </w:rPr>
        <w:t>(Abu Daud, 2014)</w:t>
      </w:r>
      <w:r w:rsidRPr="002C1BA2">
        <w:rPr>
          <w:rFonts w:ascii="Book Antiqua" w:hAnsi="Book Antiqua"/>
          <w:color w:val="000000" w:themeColor="text1"/>
          <w:sz w:val="24"/>
          <w:szCs w:val="24"/>
          <w:shd w:val="clear" w:color="auto" w:fill="FFFFFF"/>
        </w:rPr>
        <w:fldChar w:fldCharType="end"/>
      </w:r>
    </w:p>
    <w:p w14:paraId="56F03785" w14:textId="77777777" w:rsidR="002C1BA2" w:rsidRPr="002C1BA2" w:rsidRDefault="002C1BA2" w:rsidP="002C1BA2">
      <w:pPr>
        <w:pStyle w:val="ListParagraph"/>
        <w:spacing w:after="0" w:line="240" w:lineRule="auto"/>
        <w:ind w:left="786"/>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The legal </w:t>
      </w:r>
      <w:proofErr w:type="spellStart"/>
      <w:r w:rsidRPr="002C1BA2">
        <w:rPr>
          <w:rFonts w:ascii="Book Antiqua" w:hAnsi="Book Antiqua"/>
          <w:i/>
          <w:iCs/>
          <w:color w:val="000000" w:themeColor="text1"/>
          <w:sz w:val="24"/>
          <w:szCs w:val="24"/>
        </w:rPr>
        <w:t>istinbath</w:t>
      </w:r>
      <w:proofErr w:type="spellEnd"/>
      <w:r w:rsidRPr="002C1BA2">
        <w:rPr>
          <w:rFonts w:ascii="Book Antiqua" w:hAnsi="Book Antiqua"/>
          <w:color w:val="000000" w:themeColor="text1"/>
          <w:sz w:val="24"/>
          <w:szCs w:val="24"/>
        </w:rPr>
        <w:t xml:space="preserve"> of the hadith above is that if the owner of the capital makes an agreement by requiring a guarantee that must be submitted by the </w:t>
      </w:r>
      <w:proofErr w:type="spellStart"/>
      <w:r w:rsidRPr="002C1BA2">
        <w:rPr>
          <w:rFonts w:ascii="Book Antiqua" w:hAnsi="Book Antiqua"/>
          <w:i/>
          <w:iCs/>
          <w:color w:val="000000" w:themeColor="text1"/>
          <w:sz w:val="24"/>
          <w:szCs w:val="24"/>
        </w:rPr>
        <w:t>mudharib</w:t>
      </w:r>
      <w:proofErr w:type="spellEnd"/>
      <w:r w:rsidRPr="002C1BA2">
        <w:rPr>
          <w:rFonts w:ascii="Book Antiqua" w:hAnsi="Book Antiqua"/>
          <w:i/>
          <w:iCs/>
          <w:color w:val="000000" w:themeColor="text1"/>
          <w:sz w:val="24"/>
          <w:szCs w:val="24"/>
        </w:rPr>
        <w:t>,</w:t>
      </w:r>
      <w:r w:rsidRPr="002C1BA2">
        <w:rPr>
          <w:rFonts w:ascii="Book Antiqua" w:hAnsi="Book Antiqua"/>
          <w:color w:val="000000" w:themeColor="text1"/>
          <w:sz w:val="24"/>
          <w:szCs w:val="24"/>
        </w:rPr>
        <w:t xml:space="preserve"> and the </w:t>
      </w:r>
      <w:proofErr w:type="spellStart"/>
      <w:r w:rsidRPr="002C1BA2">
        <w:rPr>
          <w:rFonts w:ascii="Book Antiqua" w:hAnsi="Book Antiqua"/>
          <w:i/>
          <w:iCs/>
          <w:color w:val="000000" w:themeColor="text1"/>
          <w:sz w:val="24"/>
          <w:szCs w:val="24"/>
        </w:rPr>
        <w:t>mudharib</w:t>
      </w:r>
      <w:proofErr w:type="spellEnd"/>
      <w:r w:rsidRPr="002C1BA2">
        <w:rPr>
          <w:rFonts w:ascii="Book Antiqua" w:hAnsi="Book Antiqua"/>
          <w:color w:val="000000" w:themeColor="text1"/>
          <w:sz w:val="24"/>
          <w:szCs w:val="24"/>
        </w:rPr>
        <w:t xml:space="preserve"> agrees, the terms of the agreement must be implemented.</w:t>
      </w:r>
    </w:p>
    <w:p w14:paraId="588EC04F" w14:textId="77777777" w:rsidR="002C1BA2" w:rsidRPr="002C1BA2" w:rsidRDefault="002C1BA2" w:rsidP="002C1BA2">
      <w:pPr>
        <w:pStyle w:val="ListParagraph"/>
        <w:numPr>
          <w:ilvl w:val="0"/>
          <w:numId w:val="46"/>
        </w:numPr>
        <w:spacing w:after="0" w:line="240" w:lineRule="auto"/>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The willingness of both parties to enter into a </w:t>
      </w:r>
      <w:proofErr w:type="spellStart"/>
      <w:r w:rsidRPr="002C1BA2">
        <w:rPr>
          <w:rFonts w:ascii="Book Antiqua" w:hAnsi="Book Antiqua"/>
          <w:color w:val="000000" w:themeColor="text1"/>
          <w:sz w:val="24"/>
          <w:szCs w:val="24"/>
        </w:rPr>
        <w:t>mudharabah</w:t>
      </w:r>
      <w:proofErr w:type="spellEnd"/>
      <w:r w:rsidRPr="002C1BA2">
        <w:rPr>
          <w:rFonts w:ascii="Book Antiqua" w:hAnsi="Book Antiqua"/>
          <w:color w:val="000000" w:themeColor="text1"/>
          <w:sz w:val="24"/>
          <w:szCs w:val="24"/>
        </w:rPr>
        <w:t xml:space="preserve"> agreement is the basis for the application of guarantees in a </w:t>
      </w:r>
      <w:proofErr w:type="spellStart"/>
      <w:r w:rsidRPr="002C1BA2">
        <w:rPr>
          <w:rFonts w:ascii="Book Antiqua" w:hAnsi="Book Antiqua"/>
          <w:i/>
          <w:iCs/>
          <w:color w:val="000000" w:themeColor="text1"/>
          <w:sz w:val="24"/>
          <w:szCs w:val="24"/>
        </w:rPr>
        <w:t>mudharabah</w:t>
      </w:r>
      <w:proofErr w:type="spellEnd"/>
      <w:r w:rsidRPr="002C1BA2">
        <w:rPr>
          <w:rFonts w:ascii="Book Antiqua" w:hAnsi="Book Antiqua"/>
          <w:color w:val="000000" w:themeColor="text1"/>
          <w:sz w:val="24"/>
          <w:szCs w:val="24"/>
        </w:rPr>
        <w:t xml:space="preserve"> contract, so that there is no prohibition on the issue of such willingness. Imam Ash-</w:t>
      </w:r>
      <w:proofErr w:type="spellStart"/>
      <w:r w:rsidRPr="002C1BA2">
        <w:rPr>
          <w:rFonts w:ascii="Book Antiqua" w:hAnsi="Book Antiqua"/>
          <w:color w:val="000000" w:themeColor="text1"/>
          <w:sz w:val="24"/>
          <w:szCs w:val="24"/>
        </w:rPr>
        <w:t>Syaukani</w:t>
      </w:r>
      <w:proofErr w:type="spellEnd"/>
      <w:r w:rsidRPr="002C1BA2">
        <w:rPr>
          <w:rFonts w:ascii="Book Antiqua" w:hAnsi="Book Antiqua"/>
          <w:color w:val="000000" w:themeColor="text1"/>
          <w:sz w:val="24"/>
          <w:szCs w:val="24"/>
        </w:rPr>
        <w:t xml:space="preserve"> said:</w:t>
      </w:r>
    </w:p>
    <w:p w14:paraId="77746C1D" w14:textId="77777777" w:rsidR="002C1BA2" w:rsidRPr="002C1BA2" w:rsidRDefault="002C1BA2" w:rsidP="002C1BA2">
      <w:pPr>
        <w:pStyle w:val="ListParagraph"/>
        <w:spacing w:after="0" w:line="240" w:lineRule="auto"/>
        <w:ind w:left="788"/>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"(Guarantee in </w:t>
      </w:r>
      <w:proofErr w:type="spellStart"/>
      <w:r w:rsidRPr="002C1BA2">
        <w:rPr>
          <w:rFonts w:ascii="Book Antiqua" w:hAnsi="Book Antiqua"/>
          <w:color w:val="000000" w:themeColor="text1"/>
          <w:sz w:val="24"/>
          <w:szCs w:val="24"/>
        </w:rPr>
        <w:t>mudharabah</w:t>
      </w:r>
      <w:proofErr w:type="spellEnd"/>
      <w:r w:rsidRPr="002C1BA2">
        <w:rPr>
          <w:rFonts w:ascii="Book Antiqua" w:hAnsi="Book Antiqua"/>
          <w:color w:val="000000" w:themeColor="text1"/>
          <w:sz w:val="24"/>
          <w:szCs w:val="24"/>
        </w:rPr>
        <w:t xml:space="preserve"> is allowed) because those who are in the </w:t>
      </w:r>
      <w:proofErr w:type="spellStart"/>
      <w:r w:rsidRPr="002C1BA2">
        <w:rPr>
          <w:rFonts w:ascii="Book Antiqua" w:hAnsi="Book Antiqua"/>
          <w:color w:val="000000" w:themeColor="text1"/>
          <w:sz w:val="24"/>
          <w:szCs w:val="24"/>
        </w:rPr>
        <w:t>mudharabah</w:t>
      </w:r>
      <w:proofErr w:type="spellEnd"/>
      <w:r w:rsidRPr="002C1BA2">
        <w:rPr>
          <w:rFonts w:ascii="Book Antiqua" w:hAnsi="Book Antiqua"/>
          <w:color w:val="000000" w:themeColor="text1"/>
          <w:sz w:val="24"/>
          <w:szCs w:val="24"/>
        </w:rPr>
        <w:t xml:space="preserve"> contract are equally willing to do this. And willingness is the axis that makes it lawful (exchange) of wealth between them." </w:t>
      </w:r>
      <w:r w:rsidRPr="002C1BA2">
        <w:rPr>
          <w:rFonts w:ascii="Book Antiqua" w:hAnsi="Book Antiqua"/>
          <w:color w:val="000000" w:themeColor="text1"/>
          <w:sz w:val="24"/>
          <w:szCs w:val="24"/>
        </w:rPr>
        <w:fldChar w:fldCharType="begin" w:fldLock="1"/>
      </w:r>
      <w:r w:rsidRPr="002C1BA2">
        <w:rPr>
          <w:rFonts w:ascii="Book Antiqua" w:hAnsi="Book Antiqua"/>
          <w:color w:val="000000" w:themeColor="text1"/>
          <w:sz w:val="24"/>
          <w:szCs w:val="24"/>
        </w:rPr>
        <w:instrText>ADDIN CSL_CITATION {"citationItems":[{"id":"ITEM-1","itemData":{"author":[{"dropping-particle":"","family":"Asy-Syaukani","given":"","non-dropping-particle":"","parse-names":false,"suffix":""}],"id":"ITEM-1","issued":{"date-parts":[["1991"]]},"publisher":"Darul Kutub al-Ilmiyyah","publisher-place":"Beirut","title":"as-sailul jarror","type":"book"},"uris":["http://www.mendeley.com/documents/?uuid=3d4a09dc-dd8d-491e-a743-34f405c29665"]}],"mendeley":{"formattedCitation":"(Asy-Syaukani, 1991)","plainTextFormattedCitation":"(Asy-Syaukani, 1991)","previouslyFormattedCitation":"(Asy-Syaukani, 1991)"},"properties":{"noteIndex":0},"schema":"https://github.com/citation-style-language/schema/raw/master/csl-citation.json"}</w:instrText>
      </w:r>
      <w:r w:rsidRPr="002C1BA2">
        <w:rPr>
          <w:rFonts w:ascii="Book Antiqua" w:hAnsi="Book Antiqua"/>
          <w:color w:val="000000" w:themeColor="text1"/>
          <w:sz w:val="24"/>
          <w:szCs w:val="24"/>
        </w:rPr>
        <w:fldChar w:fldCharType="separate"/>
      </w:r>
      <w:r w:rsidRPr="002C1BA2">
        <w:rPr>
          <w:rFonts w:ascii="Book Antiqua" w:hAnsi="Book Antiqua"/>
          <w:noProof/>
          <w:color w:val="000000" w:themeColor="text1"/>
          <w:sz w:val="24"/>
          <w:szCs w:val="24"/>
        </w:rPr>
        <w:t>(Asy-Syaukani, 1991)</w:t>
      </w:r>
      <w:r w:rsidRPr="002C1BA2">
        <w:rPr>
          <w:rFonts w:ascii="Book Antiqua" w:hAnsi="Book Antiqua"/>
          <w:color w:val="000000" w:themeColor="text1"/>
          <w:sz w:val="24"/>
          <w:szCs w:val="24"/>
        </w:rPr>
        <w:fldChar w:fldCharType="end"/>
      </w:r>
    </w:p>
    <w:p w14:paraId="4864976F" w14:textId="77777777" w:rsidR="002C1BA2" w:rsidRPr="002C1BA2" w:rsidRDefault="002C1BA2" w:rsidP="002C1BA2">
      <w:pPr>
        <w:pStyle w:val="ListParagraph"/>
        <w:spacing w:after="0" w:line="240" w:lineRule="auto"/>
        <w:ind w:left="788"/>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 </w:t>
      </w:r>
    </w:p>
    <w:p w14:paraId="561263C0" w14:textId="77777777" w:rsidR="002C1BA2" w:rsidRPr="002C1BA2" w:rsidRDefault="002C1BA2" w:rsidP="002C1BA2">
      <w:pPr>
        <w:pStyle w:val="ListParagraph"/>
        <w:numPr>
          <w:ilvl w:val="0"/>
          <w:numId w:val="46"/>
        </w:numPr>
        <w:spacing w:after="0" w:line="240" w:lineRule="auto"/>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Interpretation of the opinion of some </w:t>
      </w:r>
      <w:proofErr w:type="spellStart"/>
      <w:r w:rsidRPr="002C1BA2">
        <w:rPr>
          <w:rFonts w:ascii="Book Antiqua" w:hAnsi="Book Antiqua"/>
          <w:color w:val="000000" w:themeColor="text1"/>
          <w:sz w:val="24"/>
          <w:szCs w:val="24"/>
        </w:rPr>
        <w:t>fiqh</w:t>
      </w:r>
      <w:proofErr w:type="spellEnd"/>
      <w:r w:rsidRPr="002C1BA2">
        <w:rPr>
          <w:rFonts w:ascii="Book Antiqua" w:hAnsi="Book Antiqua"/>
          <w:color w:val="000000" w:themeColor="text1"/>
          <w:sz w:val="24"/>
          <w:szCs w:val="24"/>
        </w:rPr>
        <w:t xml:space="preserve"> experts such as Imam Malik and his students who allow guarantees in </w:t>
      </w:r>
      <w:proofErr w:type="spellStart"/>
      <w:r w:rsidRPr="002C1BA2">
        <w:rPr>
          <w:rFonts w:ascii="Book Antiqua" w:hAnsi="Book Antiqua"/>
          <w:color w:val="000000" w:themeColor="text1"/>
          <w:sz w:val="24"/>
          <w:szCs w:val="24"/>
        </w:rPr>
        <w:t>istishna</w:t>
      </w:r>
      <w:proofErr w:type="spellEnd"/>
      <w:r w:rsidRPr="002C1BA2">
        <w:rPr>
          <w:rFonts w:ascii="Book Antiqua" w:hAnsi="Book Antiqua"/>
          <w:color w:val="000000" w:themeColor="text1"/>
          <w:sz w:val="24"/>
          <w:szCs w:val="24"/>
        </w:rPr>
        <w:t xml:space="preserve">’ contracts </w:t>
      </w:r>
      <w:r w:rsidRPr="002C1BA2">
        <w:rPr>
          <w:rFonts w:ascii="Book Antiqua" w:hAnsi="Book Antiqua"/>
          <w:color w:val="000000" w:themeColor="text1"/>
          <w:sz w:val="24"/>
          <w:szCs w:val="24"/>
        </w:rPr>
        <w:fldChar w:fldCharType="begin" w:fldLock="1"/>
      </w:r>
      <w:r w:rsidRPr="002C1BA2">
        <w:rPr>
          <w:rFonts w:ascii="Book Antiqua" w:hAnsi="Book Antiqua"/>
          <w:color w:val="000000" w:themeColor="text1"/>
          <w:sz w:val="24"/>
          <w:szCs w:val="24"/>
        </w:rPr>
        <w:instrText>ADDIN CSL_CITATION {"citationItems":[{"id":"ITEM-1","itemData":{"author":[{"dropping-particle":"","family":"Ibnu Abdil Barr","given":"","non-dropping-particle":"","parse-names":false,"suffix":""}],"id":"ITEM-1","issued":{"date-parts":[["2002"]]},"publisher":"Darul Kutub al-Ilmiyyah","title":"al Kafi","type":"book"},"uris":["http://www.mendeley.com/documents/?uuid=17ded425-50de-4797-b0a8-f4658f347826"]}],"mendeley":{"formattedCitation":"(Ibnu Abdil Barr, 2002)","plainTextFormattedCitation":"(Ibnu Abdil Barr, 2002)","previouslyFormattedCitation":"(Ibnu Abdil Barr, 2002)"},"properties":{"noteIndex":0},"schema":"https://github.com/citation-style-language/schema/raw/master/csl-citation.json"}</w:instrText>
      </w:r>
      <w:r w:rsidRPr="002C1BA2">
        <w:rPr>
          <w:rFonts w:ascii="Book Antiqua" w:hAnsi="Book Antiqua"/>
          <w:color w:val="000000" w:themeColor="text1"/>
          <w:sz w:val="24"/>
          <w:szCs w:val="24"/>
        </w:rPr>
        <w:fldChar w:fldCharType="separate"/>
      </w:r>
      <w:r w:rsidRPr="002C1BA2">
        <w:rPr>
          <w:rFonts w:ascii="Book Antiqua" w:hAnsi="Book Antiqua"/>
          <w:noProof/>
          <w:color w:val="000000" w:themeColor="text1"/>
          <w:sz w:val="24"/>
          <w:szCs w:val="24"/>
        </w:rPr>
        <w:t>(Ibnu Abdil Barr, 2002)</w:t>
      </w:r>
      <w:r w:rsidRPr="002C1BA2">
        <w:rPr>
          <w:rFonts w:ascii="Book Antiqua" w:hAnsi="Book Antiqua"/>
          <w:color w:val="000000" w:themeColor="text1"/>
          <w:sz w:val="24"/>
          <w:szCs w:val="24"/>
        </w:rPr>
        <w:fldChar w:fldCharType="end"/>
      </w:r>
      <w:r w:rsidRPr="002C1BA2">
        <w:rPr>
          <w:rFonts w:ascii="Book Antiqua" w:hAnsi="Book Antiqua"/>
          <w:color w:val="000000" w:themeColor="text1"/>
          <w:sz w:val="24"/>
          <w:szCs w:val="24"/>
        </w:rPr>
        <w:t xml:space="preserve">. There is even a narration that states that the companions and scholars after that have agreed on the permissibility of guarantees in the </w:t>
      </w:r>
      <w:proofErr w:type="spellStart"/>
      <w:r w:rsidRPr="002C1BA2">
        <w:rPr>
          <w:rFonts w:ascii="Book Antiqua" w:hAnsi="Book Antiqua"/>
          <w:i/>
          <w:iCs/>
          <w:color w:val="000000" w:themeColor="text1"/>
          <w:sz w:val="24"/>
          <w:szCs w:val="24"/>
        </w:rPr>
        <w:t>istishna</w:t>
      </w:r>
      <w:proofErr w:type="spellEnd"/>
      <w:r w:rsidRPr="002C1BA2">
        <w:rPr>
          <w:rFonts w:ascii="Book Antiqua" w:hAnsi="Book Antiqua"/>
          <w:i/>
          <w:iCs/>
          <w:color w:val="000000" w:themeColor="text1"/>
          <w:sz w:val="24"/>
          <w:szCs w:val="24"/>
        </w:rPr>
        <w:t xml:space="preserve">’ </w:t>
      </w:r>
      <w:r w:rsidRPr="002C1BA2">
        <w:rPr>
          <w:rFonts w:ascii="Book Antiqua" w:hAnsi="Book Antiqua"/>
          <w:color w:val="000000" w:themeColor="text1"/>
          <w:sz w:val="24"/>
          <w:szCs w:val="24"/>
        </w:rPr>
        <w:t xml:space="preserve">contract </w:t>
      </w:r>
      <w:r w:rsidRPr="002C1BA2">
        <w:rPr>
          <w:rFonts w:ascii="Book Antiqua" w:hAnsi="Book Antiqua"/>
          <w:i/>
          <w:iCs/>
          <w:color w:val="000000" w:themeColor="text1"/>
          <w:sz w:val="24"/>
          <w:szCs w:val="24"/>
        </w:rPr>
        <w:fldChar w:fldCharType="begin" w:fldLock="1"/>
      </w:r>
      <w:r w:rsidRPr="002C1BA2">
        <w:rPr>
          <w:rFonts w:ascii="Book Antiqua" w:hAnsi="Book Antiqua"/>
          <w:i/>
          <w:iCs/>
          <w:color w:val="000000" w:themeColor="text1"/>
          <w:sz w:val="24"/>
          <w:szCs w:val="24"/>
        </w:rPr>
        <w:instrText>ADDIN CSL_CITATION {"citationItems":[{"id":"ITEM-1","itemData":{"author":[{"dropping-particle":"","family":"Ibnu Rusyd","given":"","non-dropping-particle":"","parse-names":false,"suffix":""}],"id":"ITEM-1","issued":{"date-parts":[["2014"]]},"publisher":"Darul Ghorbi al-Islami","publisher-place":"Tunis","title":"al-muqoddimat al-mumahhidat","type":"book"},"uris":["http://www.mendeley.com/documents/?uuid=a1a85eb9-55d5-4036-976d-e5bc19d83163"]}],"mendeley":{"formattedCitation":"(Ibnu Rusyd, 2014)","plainTextFormattedCitation":"(Ibnu Rusyd, 2014)","previouslyFormattedCitation":"(Ibnu Rusyd, 2014)"},"properties":{"noteIndex":0},"schema":"https://github.com/citation-style-language/schema/raw/master/csl-citation.json"}</w:instrText>
      </w:r>
      <w:r w:rsidRPr="002C1BA2">
        <w:rPr>
          <w:rFonts w:ascii="Book Antiqua" w:hAnsi="Book Antiqua"/>
          <w:i/>
          <w:iCs/>
          <w:color w:val="000000" w:themeColor="text1"/>
          <w:sz w:val="24"/>
          <w:szCs w:val="24"/>
        </w:rPr>
        <w:fldChar w:fldCharType="separate"/>
      </w:r>
      <w:r w:rsidRPr="002C1BA2">
        <w:rPr>
          <w:rFonts w:ascii="Book Antiqua" w:hAnsi="Book Antiqua"/>
          <w:iCs/>
          <w:noProof/>
          <w:color w:val="000000" w:themeColor="text1"/>
          <w:sz w:val="24"/>
          <w:szCs w:val="24"/>
        </w:rPr>
        <w:t>(Ibnu Rusyd, 2014)</w:t>
      </w:r>
      <w:r w:rsidRPr="002C1BA2">
        <w:rPr>
          <w:rFonts w:ascii="Book Antiqua" w:hAnsi="Book Antiqua"/>
          <w:i/>
          <w:iCs/>
          <w:color w:val="000000" w:themeColor="text1"/>
          <w:sz w:val="24"/>
          <w:szCs w:val="24"/>
        </w:rPr>
        <w:fldChar w:fldCharType="end"/>
      </w:r>
      <w:r w:rsidRPr="002C1BA2">
        <w:rPr>
          <w:rFonts w:ascii="Book Antiqua" w:hAnsi="Book Antiqua"/>
          <w:color w:val="000000" w:themeColor="text1"/>
          <w:sz w:val="24"/>
          <w:szCs w:val="24"/>
        </w:rPr>
        <w:t>.</w:t>
      </w:r>
    </w:p>
    <w:p w14:paraId="1A89A235" w14:textId="77777777" w:rsidR="002C1BA2" w:rsidRPr="002C1BA2" w:rsidRDefault="002C1BA2" w:rsidP="002C1BA2">
      <w:pPr>
        <w:pStyle w:val="ListParagraph"/>
        <w:spacing w:after="0" w:line="240" w:lineRule="auto"/>
        <w:ind w:left="786"/>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The similarity point between "guarantee" in </w:t>
      </w:r>
      <w:proofErr w:type="spellStart"/>
      <w:r w:rsidRPr="002C1BA2">
        <w:rPr>
          <w:rFonts w:ascii="Book Antiqua" w:hAnsi="Book Antiqua"/>
          <w:i/>
          <w:iCs/>
          <w:color w:val="000000" w:themeColor="text1"/>
          <w:sz w:val="24"/>
          <w:szCs w:val="24"/>
        </w:rPr>
        <w:t>mudharabah</w:t>
      </w:r>
      <w:proofErr w:type="spellEnd"/>
      <w:r w:rsidRPr="002C1BA2">
        <w:rPr>
          <w:rFonts w:ascii="Book Antiqua" w:hAnsi="Book Antiqua"/>
          <w:color w:val="000000" w:themeColor="text1"/>
          <w:sz w:val="24"/>
          <w:szCs w:val="24"/>
        </w:rPr>
        <w:t xml:space="preserve"> and "guarantee" in </w:t>
      </w:r>
      <w:proofErr w:type="spellStart"/>
      <w:r w:rsidRPr="002C1BA2">
        <w:rPr>
          <w:rFonts w:ascii="Book Antiqua" w:hAnsi="Book Antiqua"/>
          <w:i/>
          <w:iCs/>
          <w:color w:val="000000" w:themeColor="text1"/>
          <w:sz w:val="24"/>
          <w:szCs w:val="24"/>
        </w:rPr>
        <w:t>istishna</w:t>
      </w:r>
      <w:proofErr w:type="spellEnd"/>
      <w:r w:rsidRPr="002C1BA2">
        <w:rPr>
          <w:rFonts w:ascii="Book Antiqua" w:hAnsi="Book Antiqua"/>
          <w:i/>
          <w:iCs/>
          <w:color w:val="000000" w:themeColor="text1"/>
          <w:sz w:val="24"/>
          <w:szCs w:val="24"/>
        </w:rPr>
        <w:t>'</w:t>
      </w:r>
      <w:r w:rsidRPr="002C1BA2">
        <w:rPr>
          <w:rFonts w:ascii="Book Antiqua" w:hAnsi="Book Antiqua"/>
          <w:color w:val="000000" w:themeColor="text1"/>
          <w:sz w:val="24"/>
          <w:szCs w:val="24"/>
        </w:rPr>
        <w:t xml:space="preserve"> is that they are both needed for the benefit </w:t>
      </w:r>
      <w:r w:rsidRPr="002C1BA2">
        <w:rPr>
          <w:rFonts w:ascii="Book Antiqua" w:hAnsi="Book Antiqua"/>
          <w:color w:val="000000" w:themeColor="text1"/>
          <w:sz w:val="24"/>
          <w:szCs w:val="24"/>
        </w:rPr>
        <w:fldChar w:fldCharType="begin" w:fldLock="1"/>
      </w:r>
      <w:r w:rsidRPr="002C1BA2">
        <w:rPr>
          <w:rFonts w:ascii="Book Antiqua" w:hAnsi="Book Antiqua"/>
          <w:color w:val="000000" w:themeColor="text1"/>
          <w:sz w:val="24"/>
          <w:szCs w:val="24"/>
        </w:rPr>
        <w:instrText>ADDIN CSL_CITATION {"citationItems":[{"id":"ITEM-1","itemData":{"author":[{"dropping-particle":"","family":"asy-Syatibi","given":"","non-dropping-particle":"","parse-names":false,"suffix":""}],"id":"ITEM-1","issued":{"date-parts":[["1988"]]},"publisher":"Darul Kutub al-Ilmiyyah","publisher-place":"Beirut","title":"al-I’tishom","type":"book"},"uris":["http://www.mendeley.com/documents/?uuid=749f35a0-ae4e-4d53-8654-2161a89167dc"]}],"mendeley":{"formattedCitation":"(asy-Syatibi, 1988)","plainTextFormattedCitation":"(asy-Syatibi, 1988)","previouslyFormattedCitation":"(asy-Syatibi, 1988)"},"properties":{"noteIndex":0},"schema":"https://github.com/citation-style-language/schema/raw/master/csl-citation.json"}</w:instrText>
      </w:r>
      <w:r w:rsidRPr="002C1BA2">
        <w:rPr>
          <w:rFonts w:ascii="Book Antiqua" w:hAnsi="Book Antiqua"/>
          <w:color w:val="000000" w:themeColor="text1"/>
          <w:sz w:val="24"/>
          <w:szCs w:val="24"/>
        </w:rPr>
        <w:fldChar w:fldCharType="separate"/>
      </w:r>
      <w:r w:rsidRPr="002C1BA2">
        <w:rPr>
          <w:rFonts w:ascii="Book Antiqua" w:hAnsi="Book Antiqua"/>
          <w:noProof/>
          <w:color w:val="000000" w:themeColor="text1"/>
          <w:sz w:val="24"/>
          <w:szCs w:val="24"/>
        </w:rPr>
        <w:t>(asy-Syatibi, 1988)</w:t>
      </w:r>
      <w:r w:rsidRPr="002C1BA2">
        <w:rPr>
          <w:rFonts w:ascii="Book Antiqua" w:hAnsi="Book Antiqua"/>
          <w:color w:val="000000" w:themeColor="text1"/>
          <w:sz w:val="24"/>
          <w:szCs w:val="24"/>
        </w:rPr>
        <w:fldChar w:fldCharType="end"/>
      </w:r>
      <w:r w:rsidRPr="002C1BA2">
        <w:rPr>
          <w:rFonts w:ascii="Book Antiqua" w:hAnsi="Book Antiqua"/>
          <w:color w:val="000000" w:themeColor="text1"/>
          <w:sz w:val="24"/>
          <w:szCs w:val="24"/>
        </w:rPr>
        <w:t xml:space="preserve">. It is on the basis of this benefit that guarantees are allowed in </w:t>
      </w:r>
      <w:proofErr w:type="spellStart"/>
      <w:r w:rsidRPr="002C1BA2">
        <w:rPr>
          <w:rFonts w:ascii="Book Antiqua" w:hAnsi="Book Antiqua"/>
          <w:i/>
          <w:iCs/>
          <w:color w:val="000000" w:themeColor="text1"/>
          <w:sz w:val="24"/>
          <w:szCs w:val="24"/>
        </w:rPr>
        <w:t>mudharabah</w:t>
      </w:r>
      <w:proofErr w:type="spellEnd"/>
      <w:r w:rsidRPr="002C1BA2">
        <w:rPr>
          <w:rFonts w:ascii="Book Antiqua" w:hAnsi="Book Antiqua"/>
          <w:color w:val="000000" w:themeColor="text1"/>
          <w:sz w:val="24"/>
          <w:szCs w:val="24"/>
        </w:rPr>
        <w:t>, especially in this day and age where it is increasingly difficult to find people who are trustworthy in managing other people's assets.</w:t>
      </w:r>
    </w:p>
    <w:p w14:paraId="2D207C7C" w14:textId="77777777" w:rsidR="002C1BA2" w:rsidRPr="002C1BA2" w:rsidRDefault="002C1BA2" w:rsidP="002C1BA2">
      <w:pPr>
        <w:ind w:firstLine="720"/>
        <w:jc w:val="both"/>
        <w:rPr>
          <w:rFonts w:ascii="Book Antiqua" w:hAnsi="Book Antiqua"/>
          <w:color w:val="000000" w:themeColor="text1"/>
          <w:sz w:val="24"/>
          <w:szCs w:val="24"/>
          <w:rtl/>
        </w:rPr>
      </w:pPr>
      <w:r w:rsidRPr="002C1BA2">
        <w:rPr>
          <w:rFonts w:ascii="Book Antiqua" w:hAnsi="Book Antiqua"/>
          <w:color w:val="000000" w:themeColor="text1"/>
          <w:sz w:val="24"/>
          <w:szCs w:val="24"/>
        </w:rPr>
        <w:t xml:space="preserve">The condition for disbursing the </w:t>
      </w:r>
      <w:proofErr w:type="spellStart"/>
      <w:r w:rsidRPr="002C1BA2">
        <w:rPr>
          <w:rFonts w:ascii="Book Antiqua" w:hAnsi="Book Antiqua"/>
          <w:i/>
          <w:iCs/>
          <w:color w:val="000000" w:themeColor="text1"/>
          <w:sz w:val="24"/>
          <w:szCs w:val="24"/>
        </w:rPr>
        <w:t>musyarakah</w:t>
      </w:r>
      <w:proofErr w:type="spellEnd"/>
      <w:r w:rsidRPr="002C1BA2">
        <w:rPr>
          <w:rFonts w:ascii="Book Antiqua" w:hAnsi="Book Antiqua"/>
          <w:color w:val="000000" w:themeColor="text1"/>
          <w:sz w:val="24"/>
          <w:szCs w:val="24"/>
        </w:rPr>
        <w:t xml:space="preserve"> guarantee according to the </w:t>
      </w:r>
      <w:proofErr w:type="spellStart"/>
      <w:r w:rsidRPr="002C1BA2">
        <w:rPr>
          <w:rFonts w:ascii="Book Antiqua" w:hAnsi="Book Antiqua"/>
          <w:color w:val="000000" w:themeColor="text1"/>
          <w:sz w:val="24"/>
          <w:szCs w:val="24"/>
        </w:rPr>
        <w:t>fiqh</w:t>
      </w:r>
      <w:proofErr w:type="spellEnd"/>
      <w:r w:rsidRPr="002C1BA2">
        <w:rPr>
          <w:rFonts w:ascii="Book Antiqua" w:hAnsi="Book Antiqua"/>
          <w:color w:val="000000" w:themeColor="text1"/>
          <w:sz w:val="24"/>
          <w:szCs w:val="24"/>
        </w:rPr>
        <w:t xml:space="preserve"> perspective is if the </w:t>
      </w:r>
      <w:proofErr w:type="spellStart"/>
      <w:r w:rsidRPr="002C1BA2">
        <w:rPr>
          <w:rFonts w:ascii="Book Antiqua" w:hAnsi="Book Antiqua"/>
          <w:i/>
          <w:iCs/>
          <w:color w:val="000000" w:themeColor="text1"/>
          <w:sz w:val="24"/>
          <w:szCs w:val="24"/>
        </w:rPr>
        <w:t>mudharib</w:t>
      </w:r>
      <w:proofErr w:type="spellEnd"/>
      <w:r w:rsidRPr="002C1BA2">
        <w:rPr>
          <w:rFonts w:ascii="Book Antiqua" w:hAnsi="Book Antiqua"/>
          <w:color w:val="000000" w:themeColor="text1"/>
          <w:sz w:val="24"/>
          <w:szCs w:val="24"/>
        </w:rPr>
        <w:t xml:space="preserve"> commits an intentional or negligent mistake. In the language of </w:t>
      </w:r>
      <w:proofErr w:type="spellStart"/>
      <w:r w:rsidRPr="002C1BA2">
        <w:rPr>
          <w:rFonts w:ascii="Book Antiqua" w:hAnsi="Book Antiqua"/>
          <w:color w:val="000000" w:themeColor="text1"/>
          <w:sz w:val="24"/>
          <w:szCs w:val="24"/>
        </w:rPr>
        <w:t>fiqh</w:t>
      </w:r>
      <w:proofErr w:type="spellEnd"/>
      <w:r w:rsidRPr="002C1BA2">
        <w:rPr>
          <w:rFonts w:ascii="Book Antiqua" w:hAnsi="Book Antiqua"/>
          <w:color w:val="000000" w:themeColor="text1"/>
          <w:sz w:val="24"/>
          <w:szCs w:val="24"/>
        </w:rPr>
        <w:t xml:space="preserve">, intentional mistakes are called </w:t>
      </w:r>
      <w:r w:rsidRPr="002C1BA2">
        <w:rPr>
          <w:rFonts w:ascii="Book Antiqua" w:hAnsi="Book Antiqua"/>
          <w:i/>
          <w:iCs/>
          <w:color w:val="000000" w:themeColor="text1"/>
          <w:sz w:val="24"/>
          <w:szCs w:val="24"/>
        </w:rPr>
        <w:t>at-</w:t>
      </w:r>
      <w:proofErr w:type="spellStart"/>
      <w:r w:rsidRPr="002C1BA2">
        <w:rPr>
          <w:rFonts w:ascii="Book Antiqua" w:hAnsi="Book Antiqua"/>
          <w:i/>
          <w:iCs/>
          <w:color w:val="000000" w:themeColor="text1"/>
          <w:sz w:val="24"/>
          <w:szCs w:val="24"/>
        </w:rPr>
        <w:t>ta'addi</w:t>
      </w:r>
      <w:proofErr w:type="spellEnd"/>
      <w:r w:rsidRPr="002C1BA2">
        <w:rPr>
          <w:rFonts w:ascii="Book Antiqua" w:hAnsi="Book Antiqua"/>
          <w:color w:val="000000" w:themeColor="text1"/>
          <w:sz w:val="24"/>
          <w:szCs w:val="24"/>
        </w:rPr>
        <w:t xml:space="preserve">, while negligence is called </w:t>
      </w:r>
      <w:r w:rsidRPr="002C1BA2">
        <w:rPr>
          <w:rFonts w:ascii="Book Antiqua" w:hAnsi="Book Antiqua"/>
          <w:i/>
          <w:iCs/>
          <w:color w:val="000000" w:themeColor="text1"/>
          <w:sz w:val="24"/>
          <w:szCs w:val="24"/>
        </w:rPr>
        <w:t>at-</w:t>
      </w:r>
      <w:proofErr w:type="spellStart"/>
      <w:r w:rsidRPr="002C1BA2">
        <w:rPr>
          <w:rFonts w:ascii="Book Antiqua" w:hAnsi="Book Antiqua"/>
          <w:i/>
          <w:iCs/>
          <w:color w:val="000000" w:themeColor="text1"/>
          <w:sz w:val="24"/>
          <w:szCs w:val="24"/>
        </w:rPr>
        <w:t>taqshir</w:t>
      </w:r>
      <w:proofErr w:type="spellEnd"/>
      <w:r w:rsidRPr="002C1BA2">
        <w:rPr>
          <w:rFonts w:ascii="Book Antiqua" w:hAnsi="Book Antiqua"/>
          <w:color w:val="000000" w:themeColor="text1"/>
          <w:sz w:val="24"/>
          <w:szCs w:val="24"/>
        </w:rPr>
        <w:t xml:space="preserve">. Regarding the definitions of </w:t>
      </w:r>
      <w:r w:rsidRPr="002C1BA2">
        <w:rPr>
          <w:rFonts w:ascii="Book Antiqua" w:hAnsi="Book Antiqua"/>
          <w:i/>
          <w:iCs/>
          <w:color w:val="000000" w:themeColor="text1"/>
          <w:sz w:val="24"/>
          <w:szCs w:val="24"/>
        </w:rPr>
        <w:t>at-</w:t>
      </w:r>
      <w:proofErr w:type="spellStart"/>
      <w:r w:rsidRPr="002C1BA2">
        <w:rPr>
          <w:rFonts w:ascii="Book Antiqua" w:hAnsi="Book Antiqua"/>
          <w:i/>
          <w:iCs/>
          <w:color w:val="000000" w:themeColor="text1"/>
          <w:sz w:val="24"/>
          <w:szCs w:val="24"/>
        </w:rPr>
        <w:t>ta'addi</w:t>
      </w:r>
      <w:proofErr w:type="spellEnd"/>
      <w:r w:rsidRPr="002C1BA2">
        <w:rPr>
          <w:rFonts w:ascii="Book Antiqua" w:hAnsi="Book Antiqua"/>
          <w:color w:val="000000" w:themeColor="text1"/>
          <w:sz w:val="24"/>
          <w:szCs w:val="24"/>
        </w:rPr>
        <w:t xml:space="preserve"> and </w:t>
      </w:r>
      <w:r w:rsidRPr="002C1BA2">
        <w:rPr>
          <w:rFonts w:ascii="Book Antiqua" w:hAnsi="Book Antiqua"/>
          <w:i/>
          <w:iCs/>
          <w:color w:val="000000" w:themeColor="text1"/>
          <w:sz w:val="24"/>
          <w:szCs w:val="24"/>
        </w:rPr>
        <w:t>at-</w:t>
      </w:r>
      <w:proofErr w:type="spellStart"/>
      <w:r w:rsidRPr="002C1BA2">
        <w:rPr>
          <w:rFonts w:ascii="Book Antiqua" w:hAnsi="Book Antiqua"/>
          <w:i/>
          <w:iCs/>
          <w:color w:val="000000" w:themeColor="text1"/>
          <w:sz w:val="24"/>
          <w:szCs w:val="24"/>
        </w:rPr>
        <w:t>taqshir</w:t>
      </w:r>
      <w:proofErr w:type="spellEnd"/>
      <w:r w:rsidRPr="002C1BA2">
        <w:rPr>
          <w:rFonts w:ascii="Book Antiqua" w:hAnsi="Book Antiqua"/>
          <w:color w:val="000000" w:themeColor="text1"/>
          <w:sz w:val="24"/>
          <w:szCs w:val="24"/>
        </w:rPr>
        <w:t xml:space="preserve">, there are various opinions from scholars who provide definitions with various words but the same in meaning. Among the definitions of the </w:t>
      </w:r>
      <w:proofErr w:type="spellStart"/>
      <w:r w:rsidRPr="002C1BA2">
        <w:rPr>
          <w:rFonts w:ascii="Book Antiqua" w:hAnsi="Book Antiqua"/>
          <w:i/>
          <w:iCs/>
          <w:color w:val="000000" w:themeColor="text1"/>
          <w:sz w:val="24"/>
          <w:szCs w:val="24"/>
        </w:rPr>
        <w:t>muta'akhir</w:t>
      </w:r>
      <w:proofErr w:type="spellEnd"/>
      <w:r w:rsidRPr="002C1BA2">
        <w:rPr>
          <w:rFonts w:ascii="Book Antiqua" w:hAnsi="Book Antiqua"/>
          <w:color w:val="000000" w:themeColor="text1"/>
          <w:sz w:val="24"/>
          <w:szCs w:val="24"/>
        </w:rPr>
        <w:t xml:space="preserve"> ulama is the definition presented by Dr. </w:t>
      </w:r>
      <w:proofErr w:type="spellStart"/>
      <w:r w:rsidRPr="002C1BA2">
        <w:rPr>
          <w:rFonts w:ascii="Book Antiqua" w:hAnsi="Book Antiqua"/>
          <w:color w:val="000000" w:themeColor="text1"/>
          <w:sz w:val="24"/>
          <w:szCs w:val="24"/>
        </w:rPr>
        <w:t>Qutb</w:t>
      </w:r>
      <w:proofErr w:type="spellEnd"/>
      <w:r w:rsidRPr="002C1BA2">
        <w:rPr>
          <w:rFonts w:ascii="Book Antiqua" w:hAnsi="Book Antiqua"/>
          <w:color w:val="000000" w:themeColor="text1"/>
          <w:sz w:val="24"/>
          <w:szCs w:val="24"/>
        </w:rPr>
        <w:t xml:space="preserve"> Sano, as follows:</w:t>
      </w:r>
    </w:p>
    <w:p w14:paraId="5254617C" w14:textId="77777777" w:rsidR="002C1BA2" w:rsidRPr="002C1BA2" w:rsidRDefault="002C1BA2" w:rsidP="002C1BA2">
      <w:pPr>
        <w:bidi/>
        <w:ind w:left="714" w:right="709"/>
        <w:jc w:val="both"/>
        <w:rPr>
          <w:rFonts w:ascii="Book Antiqua" w:hAnsi="Book Antiqua" w:cs="Arabic Typesetting"/>
          <w:color w:val="000000" w:themeColor="text1"/>
          <w:sz w:val="24"/>
          <w:szCs w:val="24"/>
          <w:rtl/>
        </w:rPr>
      </w:pPr>
      <w:r w:rsidRPr="002C1BA2">
        <w:rPr>
          <w:rFonts w:ascii="Book Antiqua" w:hAnsi="Book Antiqua" w:cs="Arabic Typesetting"/>
          <w:color w:val="000000" w:themeColor="text1"/>
          <w:sz w:val="24"/>
          <w:szCs w:val="24"/>
          <w:rtl/>
        </w:rPr>
        <w:t>المراد بمصطلح التعدي هو مجاوزة المرء – عمدا – الحد الذي سمح به الشرع, أو الحد الذي اتفق عليه طرفا العقد, أو الحد الذي أقره العرف السائد, وذلك عند التصرف في مال الغير مضاربة أو وديعة أو رهنا أو إجارة أو إعارة...</w:t>
      </w:r>
    </w:p>
    <w:p w14:paraId="0A2CB3FB" w14:textId="77777777" w:rsidR="002C1BA2" w:rsidRPr="002C1BA2" w:rsidRDefault="002C1BA2" w:rsidP="002C1BA2">
      <w:pPr>
        <w:bidi/>
        <w:ind w:left="714" w:right="709"/>
        <w:jc w:val="both"/>
        <w:rPr>
          <w:rFonts w:ascii="Book Antiqua" w:hAnsi="Book Antiqua" w:cs="Arabic Typesetting"/>
          <w:color w:val="000000" w:themeColor="text1"/>
          <w:sz w:val="24"/>
          <w:szCs w:val="24"/>
        </w:rPr>
      </w:pPr>
      <w:r w:rsidRPr="002C1BA2">
        <w:rPr>
          <w:rFonts w:ascii="Book Antiqua" w:hAnsi="Book Antiqua" w:cs="Arabic Typesetting"/>
          <w:color w:val="000000" w:themeColor="text1"/>
          <w:sz w:val="24"/>
          <w:szCs w:val="24"/>
          <w:rtl/>
        </w:rPr>
        <w:t>ويراد بالتقصير التواني عمدا في القيام بما أمر به الشرع أو بما اتفق عليه طرفا العقد أو بما دل عليه العرف السائد,  وذلك عند التصرف في مال الغير مضاربة أو وديعة أو رهنا أو إجارة أو إعارة.</w:t>
      </w:r>
    </w:p>
    <w:p w14:paraId="7001672B" w14:textId="77777777" w:rsidR="002C1BA2" w:rsidRPr="002C1BA2" w:rsidRDefault="002C1BA2" w:rsidP="002C1BA2">
      <w:pPr>
        <w:ind w:left="714"/>
        <w:jc w:val="both"/>
        <w:rPr>
          <w:rFonts w:ascii="Book Antiqua" w:hAnsi="Book Antiqua"/>
          <w:color w:val="000000" w:themeColor="text1"/>
          <w:sz w:val="24"/>
          <w:szCs w:val="24"/>
        </w:rPr>
      </w:pPr>
    </w:p>
    <w:p w14:paraId="00DFC54D" w14:textId="77777777" w:rsidR="002C1BA2" w:rsidRPr="002C1BA2" w:rsidRDefault="002C1BA2" w:rsidP="002C1BA2">
      <w:pPr>
        <w:ind w:left="709" w:right="573"/>
        <w:jc w:val="both"/>
        <w:rPr>
          <w:rFonts w:ascii="Book Antiqua" w:hAnsi="Book Antiqua"/>
          <w:color w:val="000000" w:themeColor="text1"/>
          <w:sz w:val="24"/>
          <w:szCs w:val="24"/>
        </w:rPr>
      </w:pPr>
      <w:r w:rsidRPr="002C1BA2">
        <w:rPr>
          <w:rFonts w:ascii="Book Antiqua" w:hAnsi="Book Antiqua"/>
          <w:color w:val="000000" w:themeColor="text1"/>
          <w:sz w:val="24"/>
          <w:szCs w:val="24"/>
        </w:rPr>
        <w:lastRenderedPageBreak/>
        <w:t xml:space="preserve">What is meant by </w:t>
      </w:r>
      <w:r w:rsidRPr="002C1BA2">
        <w:rPr>
          <w:rFonts w:ascii="Book Antiqua" w:hAnsi="Book Antiqua"/>
          <w:i/>
          <w:iCs/>
          <w:color w:val="000000" w:themeColor="text1"/>
          <w:sz w:val="24"/>
          <w:szCs w:val="24"/>
        </w:rPr>
        <w:t>at-</w:t>
      </w:r>
      <w:proofErr w:type="spellStart"/>
      <w:r w:rsidRPr="002C1BA2">
        <w:rPr>
          <w:rFonts w:ascii="Book Antiqua" w:hAnsi="Book Antiqua"/>
          <w:i/>
          <w:iCs/>
          <w:color w:val="000000" w:themeColor="text1"/>
          <w:sz w:val="24"/>
          <w:szCs w:val="24"/>
        </w:rPr>
        <w:t>ta'addi</w:t>
      </w:r>
      <w:proofErr w:type="spellEnd"/>
      <w:r w:rsidRPr="002C1BA2">
        <w:rPr>
          <w:rFonts w:ascii="Book Antiqua" w:hAnsi="Book Antiqua"/>
          <w:color w:val="000000" w:themeColor="text1"/>
          <w:sz w:val="24"/>
          <w:szCs w:val="24"/>
        </w:rPr>
        <w:t xml:space="preserve"> is intentionally doing something that exceeds the limits permitted by the </w:t>
      </w:r>
      <w:proofErr w:type="spellStart"/>
      <w:r w:rsidRPr="002C1BA2">
        <w:rPr>
          <w:rFonts w:ascii="Book Antiqua" w:hAnsi="Book Antiqua"/>
          <w:color w:val="000000" w:themeColor="text1"/>
          <w:sz w:val="24"/>
          <w:szCs w:val="24"/>
        </w:rPr>
        <w:t>shari'ah</w:t>
      </w:r>
      <w:proofErr w:type="spellEnd"/>
      <w:r w:rsidRPr="002C1BA2">
        <w:rPr>
          <w:rFonts w:ascii="Book Antiqua" w:hAnsi="Book Antiqua"/>
          <w:color w:val="000000" w:themeColor="text1"/>
          <w:sz w:val="24"/>
          <w:szCs w:val="24"/>
        </w:rPr>
        <w:t xml:space="preserve">, or the limits agreed upon by both parties in the contract, or the limits set by prevailing custom, when managing the capital/funds of another party, both in </w:t>
      </w:r>
      <w:proofErr w:type="spellStart"/>
      <w:r w:rsidRPr="002C1BA2">
        <w:rPr>
          <w:rFonts w:ascii="Book Antiqua" w:hAnsi="Book Antiqua"/>
          <w:i/>
          <w:iCs/>
          <w:color w:val="000000" w:themeColor="text1"/>
          <w:sz w:val="24"/>
          <w:szCs w:val="24"/>
        </w:rPr>
        <w:t>mudharabah</w:t>
      </w:r>
      <w:proofErr w:type="spellEnd"/>
      <w:r w:rsidRPr="002C1BA2">
        <w:rPr>
          <w:rFonts w:ascii="Book Antiqua" w:hAnsi="Book Antiqua"/>
          <w:i/>
          <w:iCs/>
          <w:color w:val="000000" w:themeColor="text1"/>
          <w:sz w:val="24"/>
          <w:szCs w:val="24"/>
        </w:rPr>
        <w:t xml:space="preserve">, </w:t>
      </w:r>
      <w:proofErr w:type="spellStart"/>
      <w:r w:rsidRPr="002C1BA2">
        <w:rPr>
          <w:rFonts w:ascii="Book Antiqua" w:hAnsi="Book Antiqua"/>
          <w:i/>
          <w:iCs/>
          <w:color w:val="000000" w:themeColor="text1"/>
          <w:sz w:val="24"/>
          <w:szCs w:val="24"/>
        </w:rPr>
        <w:t>wadi'ah</w:t>
      </w:r>
      <w:proofErr w:type="spellEnd"/>
      <w:r w:rsidRPr="002C1BA2">
        <w:rPr>
          <w:rFonts w:ascii="Book Antiqua" w:hAnsi="Book Antiqua"/>
          <w:color w:val="000000" w:themeColor="text1"/>
          <w:sz w:val="24"/>
          <w:szCs w:val="24"/>
        </w:rPr>
        <w:t xml:space="preserve">, pawn, </w:t>
      </w:r>
      <w:r w:rsidRPr="002C1BA2">
        <w:rPr>
          <w:rFonts w:ascii="Book Antiqua" w:hAnsi="Book Antiqua"/>
          <w:i/>
          <w:iCs/>
          <w:color w:val="000000" w:themeColor="text1"/>
          <w:sz w:val="24"/>
          <w:szCs w:val="24"/>
        </w:rPr>
        <w:t>ijarah</w:t>
      </w:r>
      <w:r w:rsidRPr="002C1BA2">
        <w:rPr>
          <w:rFonts w:ascii="Book Antiqua" w:hAnsi="Book Antiqua"/>
          <w:color w:val="000000" w:themeColor="text1"/>
          <w:sz w:val="24"/>
          <w:szCs w:val="24"/>
        </w:rPr>
        <w:t xml:space="preserve">, and </w:t>
      </w:r>
      <w:proofErr w:type="spellStart"/>
      <w:r w:rsidRPr="002C1BA2">
        <w:rPr>
          <w:rFonts w:ascii="Book Antiqua" w:hAnsi="Book Antiqua"/>
          <w:i/>
          <w:iCs/>
          <w:color w:val="000000" w:themeColor="text1"/>
          <w:sz w:val="24"/>
          <w:szCs w:val="24"/>
        </w:rPr>
        <w:t>i'aroh</w:t>
      </w:r>
      <w:proofErr w:type="spellEnd"/>
      <w:r w:rsidRPr="002C1BA2">
        <w:rPr>
          <w:rFonts w:ascii="Book Antiqua" w:hAnsi="Book Antiqua"/>
          <w:color w:val="000000" w:themeColor="text1"/>
          <w:sz w:val="24"/>
          <w:szCs w:val="24"/>
        </w:rPr>
        <w:t xml:space="preserve"> contracts.</w:t>
      </w:r>
    </w:p>
    <w:p w14:paraId="23A0C502" w14:textId="77777777" w:rsidR="002C1BA2" w:rsidRPr="002C1BA2" w:rsidRDefault="002C1BA2" w:rsidP="002C1BA2">
      <w:pPr>
        <w:ind w:left="709" w:right="573"/>
        <w:jc w:val="both"/>
        <w:rPr>
          <w:rFonts w:ascii="Book Antiqua" w:hAnsi="Book Antiqua"/>
          <w:color w:val="000000" w:themeColor="text1"/>
          <w:sz w:val="24"/>
          <w:szCs w:val="24"/>
          <w:rtl/>
        </w:rPr>
      </w:pPr>
      <w:r w:rsidRPr="002C1BA2">
        <w:rPr>
          <w:rFonts w:ascii="Book Antiqua" w:hAnsi="Book Antiqua"/>
          <w:color w:val="000000" w:themeColor="text1"/>
          <w:sz w:val="24"/>
          <w:szCs w:val="24"/>
        </w:rPr>
        <w:t xml:space="preserve">Whereas what is meant by </w:t>
      </w:r>
      <w:r w:rsidRPr="002C1BA2">
        <w:rPr>
          <w:rFonts w:ascii="Book Antiqua" w:hAnsi="Book Antiqua"/>
          <w:i/>
          <w:iCs/>
          <w:color w:val="000000" w:themeColor="text1"/>
          <w:sz w:val="24"/>
          <w:szCs w:val="24"/>
        </w:rPr>
        <w:t>at-</w:t>
      </w:r>
      <w:proofErr w:type="spellStart"/>
      <w:r w:rsidRPr="002C1BA2">
        <w:rPr>
          <w:rFonts w:ascii="Book Antiqua" w:hAnsi="Book Antiqua"/>
          <w:i/>
          <w:iCs/>
          <w:color w:val="000000" w:themeColor="text1"/>
          <w:sz w:val="24"/>
          <w:szCs w:val="24"/>
        </w:rPr>
        <w:t>taqshir</w:t>
      </w:r>
      <w:proofErr w:type="spellEnd"/>
      <w:r w:rsidRPr="002C1BA2">
        <w:rPr>
          <w:rFonts w:ascii="Book Antiqua" w:hAnsi="Book Antiqua"/>
          <w:color w:val="000000" w:themeColor="text1"/>
          <w:sz w:val="24"/>
          <w:szCs w:val="24"/>
        </w:rPr>
        <w:t xml:space="preserve"> is intentionally being reluctant or unwilling to do what is ordered by Sharia, or what is agreed upon by the parties in the contract, or what is indicated by the prevailing custom, when managing the capital/funds of another party, both in the contract </w:t>
      </w:r>
      <w:proofErr w:type="spellStart"/>
      <w:r w:rsidRPr="002C1BA2">
        <w:rPr>
          <w:rFonts w:ascii="Book Antiqua" w:hAnsi="Book Antiqua"/>
          <w:i/>
          <w:iCs/>
          <w:color w:val="000000" w:themeColor="text1"/>
          <w:sz w:val="24"/>
          <w:szCs w:val="24"/>
        </w:rPr>
        <w:t>mudharabah</w:t>
      </w:r>
      <w:proofErr w:type="spellEnd"/>
      <w:r w:rsidRPr="002C1BA2">
        <w:rPr>
          <w:rFonts w:ascii="Book Antiqua" w:hAnsi="Book Antiqua"/>
          <w:i/>
          <w:iCs/>
          <w:color w:val="000000" w:themeColor="text1"/>
          <w:sz w:val="24"/>
          <w:szCs w:val="24"/>
        </w:rPr>
        <w:t xml:space="preserve">, </w:t>
      </w:r>
      <w:proofErr w:type="spellStart"/>
      <w:r w:rsidRPr="002C1BA2">
        <w:rPr>
          <w:rFonts w:ascii="Book Antiqua" w:hAnsi="Book Antiqua"/>
          <w:i/>
          <w:iCs/>
          <w:color w:val="000000" w:themeColor="text1"/>
          <w:sz w:val="24"/>
          <w:szCs w:val="24"/>
        </w:rPr>
        <w:t>wadi'ah</w:t>
      </w:r>
      <w:proofErr w:type="spellEnd"/>
      <w:r w:rsidRPr="002C1BA2">
        <w:rPr>
          <w:rFonts w:ascii="Book Antiqua" w:hAnsi="Book Antiqua"/>
          <w:i/>
          <w:iCs/>
          <w:color w:val="000000" w:themeColor="text1"/>
          <w:sz w:val="24"/>
          <w:szCs w:val="24"/>
        </w:rPr>
        <w:t>, pawn, ijarah,</w:t>
      </w:r>
      <w:r w:rsidRPr="002C1BA2">
        <w:rPr>
          <w:rFonts w:ascii="Book Antiqua" w:hAnsi="Book Antiqua"/>
          <w:color w:val="000000" w:themeColor="text1"/>
          <w:sz w:val="24"/>
          <w:szCs w:val="24"/>
        </w:rPr>
        <w:t xml:space="preserve"> and </w:t>
      </w:r>
      <w:proofErr w:type="spellStart"/>
      <w:r w:rsidRPr="002C1BA2">
        <w:rPr>
          <w:rFonts w:ascii="Book Antiqua" w:hAnsi="Book Antiqua"/>
          <w:i/>
          <w:iCs/>
          <w:color w:val="000000" w:themeColor="text1"/>
          <w:sz w:val="24"/>
          <w:szCs w:val="24"/>
        </w:rPr>
        <w:t>i'aroh</w:t>
      </w:r>
      <w:proofErr w:type="spellEnd"/>
      <w:r w:rsidRPr="002C1BA2">
        <w:rPr>
          <w:rFonts w:ascii="Book Antiqua" w:hAnsi="Book Antiqua"/>
          <w:i/>
          <w:iCs/>
          <w:color w:val="000000" w:themeColor="text1"/>
          <w:sz w:val="24"/>
          <w:szCs w:val="24"/>
        </w:rPr>
        <w:t xml:space="preserve"> </w:t>
      </w:r>
      <w:r w:rsidRPr="002C1BA2">
        <w:rPr>
          <w:rFonts w:ascii="Book Antiqua" w:hAnsi="Book Antiqua"/>
          <w:color w:val="000000" w:themeColor="text1"/>
          <w:sz w:val="24"/>
          <w:szCs w:val="24"/>
        </w:rPr>
        <w:t>contracts.</w:t>
      </w:r>
    </w:p>
    <w:p w14:paraId="69B2B3BE" w14:textId="77777777" w:rsidR="002C1BA2" w:rsidRPr="002C1BA2" w:rsidRDefault="002C1BA2" w:rsidP="002C1BA2">
      <w:pPr>
        <w:spacing w:before="120"/>
        <w:ind w:firstLine="709"/>
        <w:jc w:val="both"/>
        <w:rPr>
          <w:rFonts w:ascii="Book Antiqua" w:hAnsi="Book Antiqua"/>
          <w:color w:val="000000" w:themeColor="text1"/>
          <w:sz w:val="24"/>
          <w:szCs w:val="24"/>
        </w:rPr>
      </w:pPr>
      <w:r w:rsidRPr="002C1BA2">
        <w:rPr>
          <w:rFonts w:ascii="Book Antiqua" w:hAnsi="Book Antiqua"/>
          <w:color w:val="000000" w:themeColor="text1"/>
          <w:sz w:val="24"/>
          <w:szCs w:val="24"/>
        </w:rPr>
        <w:t>From the description above, the definition of intentional error (</w:t>
      </w:r>
      <w:r w:rsidRPr="002C1BA2">
        <w:rPr>
          <w:rFonts w:ascii="Book Antiqua" w:hAnsi="Book Antiqua"/>
          <w:i/>
          <w:iCs/>
          <w:color w:val="000000" w:themeColor="text1"/>
          <w:sz w:val="24"/>
          <w:szCs w:val="24"/>
        </w:rPr>
        <w:t>at-</w:t>
      </w:r>
      <w:proofErr w:type="spellStart"/>
      <w:r w:rsidRPr="002C1BA2">
        <w:rPr>
          <w:rFonts w:ascii="Book Antiqua" w:hAnsi="Book Antiqua"/>
          <w:i/>
          <w:iCs/>
          <w:color w:val="000000" w:themeColor="text1"/>
          <w:sz w:val="24"/>
          <w:szCs w:val="24"/>
        </w:rPr>
        <w:t>ta'addi</w:t>
      </w:r>
      <w:proofErr w:type="spellEnd"/>
      <w:r w:rsidRPr="002C1BA2">
        <w:rPr>
          <w:rFonts w:ascii="Book Antiqua" w:hAnsi="Book Antiqua"/>
          <w:color w:val="000000" w:themeColor="text1"/>
          <w:sz w:val="24"/>
          <w:szCs w:val="24"/>
        </w:rPr>
        <w:t>) refers to the act of committing an act intentionally, which in turn causes a loss, such as damaging merchandise. Meanwhile, the definition of negligence (</w:t>
      </w:r>
      <w:r w:rsidRPr="002C1BA2">
        <w:rPr>
          <w:rFonts w:ascii="Book Antiqua" w:hAnsi="Book Antiqua"/>
          <w:i/>
          <w:iCs/>
          <w:color w:val="000000" w:themeColor="text1"/>
          <w:sz w:val="24"/>
          <w:szCs w:val="24"/>
        </w:rPr>
        <w:t>at-</w:t>
      </w:r>
      <w:proofErr w:type="spellStart"/>
      <w:r w:rsidRPr="002C1BA2">
        <w:rPr>
          <w:rFonts w:ascii="Book Antiqua" w:hAnsi="Book Antiqua"/>
          <w:i/>
          <w:iCs/>
          <w:color w:val="000000" w:themeColor="text1"/>
          <w:sz w:val="24"/>
          <w:szCs w:val="24"/>
        </w:rPr>
        <w:t>taqshir</w:t>
      </w:r>
      <w:proofErr w:type="spellEnd"/>
      <w:r w:rsidRPr="002C1BA2">
        <w:rPr>
          <w:rFonts w:ascii="Book Antiqua" w:hAnsi="Book Antiqua"/>
          <w:color w:val="000000" w:themeColor="text1"/>
          <w:sz w:val="24"/>
          <w:szCs w:val="24"/>
        </w:rPr>
        <w:t xml:space="preserve">) refers to the state of not taking action, in which the situation ultimately results in losses, such as not wanting to trade in the morning when the market is still busy even though the order to trade in the morning has been agreed by both parties involved do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w:t>
      </w:r>
    </w:p>
    <w:p w14:paraId="07A67973" w14:textId="77777777" w:rsidR="002C1BA2" w:rsidRPr="002C1BA2" w:rsidRDefault="002C1BA2" w:rsidP="002C1BA2">
      <w:pPr>
        <w:ind w:firstLine="709"/>
        <w:jc w:val="both"/>
        <w:rPr>
          <w:rFonts w:ascii="Book Antiqua" w:hAnsi="Book Antiqua"/>
          <w:color w:val="000000" w:themeColor="text1"/>
          <w:sz w:val="24"/>
          <w:szCs w:val="24"/>
        </w:rPr>
      </w:pPr>
      <w:r w:rsidRPr="002C1BA2">
        <w:rPr>
          <w:rFonts w:ascii="Book Antiqua" w:hAnsi="Book Antiqua"/>
          <w:color w:val="000000" w:themeColor="text1"/>
          <w:sz w:val="24"/>
          <w:szCs w:val="24"/>
        </w:rPr>
        <w:t>Deliberate errors (</w:t>
      </w:r>
      <w:r w:rsidRPr="002C1BA2">
        <w:rPr>
          <w:rFonts w:ascii="Book Antiqua" w:hAnsi="Book Antiqua"/>
          <w:i/>
          <w:iCs/>
          <w:color w:val="000000" w:themeColor="text1"/>
          <w:sz w:val="24"/>
          <w:szCs w:val="24"/>
        </w:rPr>
        <w:t>at-</w:t>
      </w:r>
      <w:proofErr w:type="spellStart"/>
      <w:r w:rsidRPr="002C1BA2">
        <w:rPr>
          <w:rFonts w:ascii="Book Antiqua" w:hAnsi="Book Antiqua"/>
          <w:i/>
          <w:iCs/>
          <w:color w:val="000000" w:themeColor="text1"/>
          <w:sz w:val="24"/>
          <w:szCs w:val="24"/>
        </w:rPr>
        <w:t>ta'addi</w:t>
      </w:r>
      <w:proofErr w:type="spellEnd"/>
      <w:r w:rsidRPr="002C1BA2">
        <w:rPr>
          <w:rFonts w:ascii="Book Antiqua" w:hAnsi="Book Antiqua"/>
          <w:color w:val="000000" w:themeColor="text1"/>
          <w:sz w:val="24"/>
          <w:szCs w:val="24"/>
        </w:rPr>
        <w:t>) or negligence (</w:t>
      </w:r>
      <w:r w:rsidRPr="002C1BA2">
        <w:rPr>
          <w:rFonts w:ascii="Book Antiqua" w:hAnsi="Book Antiqua"/>
          <w:i/>
          <w:iCs/>
          <w:color w:val="000000" w:themeColor="text1"/>
          <w:sz w:val="24"/>
          <w:szCs w:val="24"/>
        </w:rPr>
        <w:t>at-</w:t>
      </w:r>
      <w:proofErr w:type="spellStart"/>
      <w:r w:rsidRPr="002C1BA2">
        <w:rPr>
          <w:rFonts w:ascii="Book Antiqua" w:hAnsi="Book Antiqua"/>
          <w:i/>
          <w:iCs/>
          <w:color w:val="000000" w:themeColor="text1"/>
          <w:sz w:val="24"/>
          <w:szCs w:val="24"/>
        </w:rPr>
        <w:t>taqshir</w:t>
      </w:r>
      <w:proofErr w:type="spellEnd"/>
      <w:r w:rsidRPr="002C1BA2">
        <w:rPr>
          <w:rFonts w:ascii="Book Antiqua" w:hAnsi="Book Antiqua"/>
          <w:color w:val="000000" w:themeColor="text1"/>
          <w:sz w:val="24"/>
          <w:szCs w:val="24"/>
        </w:rPr>
        <w:t>) in managing the capital belonging to LKS committed by the customer resulting in a loss of LKS capital will result in the customer being obliged to compensate for the loss, which if not done, the guarantee belongs to the customer can be sold or auctioned to cover LKS losses.</w:t>
      </w:r>
    </w:p>
    <w:p w14:paraId="188DDE7D" w14:textId="77777777" w:rsidR="002C1BA2" w:rsidRPr="002C1BA2" w:rsidRDefault="002C1BA2" w:rsidP="002C1BA2">
      <w:pPr>
        <w:ind w:firstLine="709"/>
        <w:jc w:val="both"/>
        <w:rPr>
          <w:rFonts w:ascii="Book Antiqua" w:hAnsi="Book Antiqua"/>
          <w:color w:val="000000" w:themeColor="text1"/>
          <w:sz w:val="24"/>
          <w:szCs w:val="24"/>
        </w:rPr>
      </w:pPr>
    </w:p>
    <w:p w14:paraId="159D0D3F" w14:textId="77777777" w:rsidR="002C1BA2" w:rsidRPr="002C1BA2" w:rsidRDefault="002C1BA2" w:rsidP="002C1BA2">
      <w:pPr>
        <w:pStyle w:val="ListParagraph"/>
        <w:numPr>
          <w:ilvl w:val="0"/>
          <w:numId w:val="47"/>
        </w:numPr>
        <w:spacing w:after="0" w:line="240" w:lineRule="auto"/>
        <w:ind w:left="851" w:hanging="425"/>
        <w:jc w:val="both"/>
        <w:rPr>
          <w:rFonts w:ascii="Book Antiqua" w:hAnsi="Book Antiqua"/>
          <w:b/>
          <w:bCs/>
          <w:color w:val="000000" w:themeColor="text1"/>
          <w:sz w:val="24"/>
          <w:szCs w:val="24"/>
        </w:rPr>
      </w:pPr>
      <w:proofErr w:type="spellStart"/>
      <w:r w:rsidRPr="002C1BA2">
        <w:rPr>
          <w:rFonts w:ascii="Book Antiqua" w:hAnsi="Book Antiqua"/>
          <w:b/>
          <w:bCs/>
          <w:color w:val="000000" w:themeColor="text1"/>
          <w:sz w:val="24"/>
          <w:szCs w:val="24"/>
        </w:rPr>
        <w:t>Musyarakah</w:t>
      </w:r>
      <w:proofErr w:type="spellEnd"/>
      <w:r w:rsidRPr="002C1BA2">
        <w:rPr>
          <w:rFonts w:ascii="Book Antiqua" w:hAnsi="Book Antiqua"/>
          <w:b/>
          <w:bCs/>
          <w:color w:val="000000" w:themeColor="text1"/>
          <w:sz w:val="24"/>
          <w:szCs w:val="24"/>
        </w:rPr>
        <w:t xml:space="preserve"> Guarantee in a Positive Legal Perspective</w:t>
      </w:r>
    </w:p>
    <w:p w14:paraId="4511E754" w14:textId="77777777" w:rsidR="002C1BA2" w:rsidRPr="002C1BA2" w:rsidRDefault="002C1BA2" w:rsidP="002C1BA2">
      <w:pPr>
        <w:ind w:firstLine="720"/>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From a positive legal perspective, the rules regarding guarantees in </w:t>
      </w:r>
      <w:proofErr w:type="spellStart"/>
      <w:r w:rsidRPr="002C1BA2">
        <w:rPr>
          <w:rFonts w:ascii="Book Antiqua" w:hAnsi="Book Antiqua"/>
          <w:i/>
          <w:iCs/>
          <w:color w:val="000000" w:themeColor="text1"/>
          <w:sz w:val="24"/>
          <w:szCs w:val="24"/>
        </w:rPr>
        <w:t>musyarakah</w:t>
      </w:r>
      <w:proofErr w:type="spellEnd"/>
      <w:r w:rsidRPr="002C1BA2">
        <w:rPr>
          <w:rFonts w:ascii="Book Antiqua" w:hAnsi="Book Antiqua"/>
          <w:color w:val="000000" w:themeColor="text1"/>
          <w:sz w:val="24"/>
          <w:szCs w:val="24"/>
        </w:rPr>
        <w:t xml:space="preserve"> financing can be found in Article 8 letter o of Bank Indonesia Regulation (PBI: Indonesian) Number 7/46/PBI/2005 concerning Funds Collection and Distribution Agreements for Banks Conducting Business Activities Based on Sharia Principles. The Bank Indonesia regulation absorbs from the DSN MUI Fatwa No. 08/DSN-MUI/IV/2000 which allows for guarantees in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w:t>
      </w:r>
    </w:p>
    <w:p w14:paraId="5AE45941" w14:textId="77777777" w:rsidR="002C1BA2" w:rsidRPr="002C1BA2" w:rsidRDefault="002C1BA2" w:rsidP="002C1BA2">
      <w:pPr>
        <w:ind w:firstLine="720"/>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Indeed, the DSN MUI Fatwa is not one of the types of legislation recognized in Indonesia. However, its existence is often legitimized by laws and regulations, so it must be obeyed by sharia economic actors. The DSN MUI fatwa, which was originally not binding on citizens, can become binding when it is absorbed by the laws and regulations. For example, the DSN MUI fatwa Number 08/DSN-MUI/IV/2000 concerning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which allows LKS to ask for guarantees from customers in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is legitimized by PBI Number 7/46/PBI/2005.</w:t>
      </w:r>
    </w:p>
    <w:p w14:paraId="0541075B" w14:textId="77777777" w:rsidR="002C1BA2" w:rsidRPr="002C1BA2" w:rsidRDefault="002C1BA2" w:rsidP="002C1BA2">
      <w:pPr>
        <w:ind w:firstLine="720"/>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The conditions for disbursement of guarantees as stated in PBI Number 7/46/PBI/2005 are when there is negligence and fraud on the part of the </w:t>
      </w:r>
      <w:r w:rsidRPr="002C1BA2">
        <w:rPr>
          <w:rFonts w:ascii="Book Antiqua" w:hAnsi="Book Antiqua"/>
          <w:color w:val="000000" w:themeColor="text1"/>
          <w:sz w:val="24"/>
          <w:szCs w:val="24"/>
        </w:rPr>
        <w:lastRenderedPageBreak/>
        <w:t xml:space="preserve">guarantee owner (customer). While the limits regarding the definition and criteria for negligence and fraud that are the basis for the permission to withdraw the guarantee, there is no regulation that regulates it (legal vacuum). In this legal vacuum, judges must ijtihad in interpreting "negligence" and "cheating" when examining cases of disputed executions of problematic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guarantees. Some judges have interpreted "negligence" and "cheating" in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as a default as contained in Article 1243 of the Civil Code (hereinafter abbreviated as </w:t>
      </w:r>
      <w:proofErr w:type="spellStart"/>
      <w:r w:rsidRPr="002C1BA2">
        <w:rPr>
          <w:rFonts w:ascii="Book Antiqua" w:hAnsi="Book Antiqua"/>
          <w:color w:val="000000" w:themeColor="text1"/>
          <w:sz w:val="24"/>
          <w:szCs w:val="24"/>
        </w:rPr>
        <w:t>KUHPer</w:t>
      </w:r>
      <w:proofErr w:type="spellEnd"/>
      <w:r w:rsidRPr="002C1BA2">
        <w:rPr>
          <w:rFonts w:ascii="Book Antiqua" w:hAnsi="Book Antiqua"/>
          <w:color w:val="000000" w:themeColor="text1"/>
          <w:sz w:val="24"/>
          <w:szCs w:val="24"/>
        </w:rPr>
        <w:t xml:space="preserve">) and unlawful acts as contained in Article 1365 of the Criminal Code. And there are some judges who do not merely refer to the definition of default in Article 1243 of the Criminal Code but also consider aspects of the causes of default, whether from the customer's side or from LKS or from other things beyond the ability of the customer. Therefore, the impact of the difference in judges' considerations resulted in disparity in decisions when deciding cases of execution of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guarantees. Some judges have authorized the execution and auction of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guarantees with the consideration that the customer has defaulted or failed to fulfill his obligation to repay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capital, as stated in the decision of the Medan PTA Appeal Number 68/</w:t>
      </w:r>
      <w:proofErr w:type="spellStart"/>
      <w:r w:rsidRPr="002C1BA2">
        <w:rPr>
          <w:rFonts w:ascii="Book Antiqua" w:hAnsi="Book Antiqua"/>
          <w:color w:val="000000" w:themeColor="text1"/>
          <w:sz w:val="24"/>
          <w:szCs w:val="24"/>
        </w:rPr>
        <w:t>Pdt.G</w:t>
      </w:r>
      <w:proofErr w:type="spellEnd"/>
      <w:r w:rsidRPr="002C1BA2">
        <w:rPr>
          <w:rFonts w:ascii="Book Antiqua" w:hAnsi="Book Antiqua"/>
          <w:color w:val="000000" w:themeColor="text1"/>
          <w:sz w:val="24"/>
          <w:szCs w:val="24"/>
        </w:rPr>
        <w:t>/2016/</w:t>
      </w:r>
      <w:proofErr w:type="spellStart"/>
      <w:r w:rsidRPr="002C1BA2">
        <w:rPr>
          <w:rFonts w:ascii="Book Antiqua" w:hAnsi="Book Antiqua"/>
          <w:color w:val="000000" w:themeColor="text1"/>
          <w:sz w:val="24"/>
          <w:szCs w:val="24"/>
        </w:rPr>
        <w:t>PTA.Mdn</w:t>
      </w:r>
      <w:proofErr w:type="spellEnd"/>
      <w:r w:rsidRPr="002C1BA2">
        <w:rPr>
          <w:rFonts w:ascii="Book Antiqua" w:hAnsi="Book Antiqua"/>
          <w:color w:val="000000" w:themeColor="text1"/>
          <w:sz w:val="24"/>
          <w:szCs w:val="24"/>
        </w:rPr>
        <w:t xml:space="preserve"> dated October 5, 2016 </w:t>
      </w:r>
      <w:r w:rsidRPr="002C1BA2">
        <w:rPr>
          <w:rFonts w:ascii="Book Antiqua" w:hAnsi="Book Antiqua"/>
          <w:color w:val="000000" w:themeColor="text1"/>
          <w:sz w:val="24"/>
          <w:szCs w:val="24"/>
        </w:rPr>
        <w:fldChar w:fldCharType="begin" w:fldLock="1"/>
      </w:r>
      <w:r w:rsidRPr="002C1BA2">
        <w:rPr>
          <w:rFonts w:ascii="Book Antiqua" w:hAnsi="Book Antiqua"/>
          <w:color w:val="000000" w:themeColor="text1"/>
          <w:sz w:val="24"/>
          <w:szCs w:val="24"/>
        </w:rPr>
        <w:instrText>ADDIN CSL_CITATION {"citationItems":[{"id":"ITEM-1","itemData":{"id":"ITEM-1","issued":{"date-parts":[["0"]]},"title":"Putusan PTA Medan Nomor 68/Pdt.G/2016/PTA.Mdn halaman 8","type":"article-journal"},"uris":["http://www.mendeley.com/documents/?uuid=48768403-e433-4c3c-a386-468fa557f23e"]}],"mendeley":{"formattedCitation":"(&lt;i&gt;Putusan PTA Medan Nomor 68/Pdt.G/2016/PTA.Mdn Halaman 8&lt;/i&gt;, n.d.)","plainTextFormattedCitation":"(Putusan PTA Medan Nomor 68/Pdt.G/2016/PTA.Mdn Halaman 8, n.d.)","previouslyFormattedCitation":"(&lt;i&gt;Putusan PTA Medan Nomor 68/Pdt.G/2016/PTA.Mdn Halaman 8&lt;/i&gt;, n.d.)"},"properties":{"noteIndex":0},"schema":"https://github.com/citation-style-language/schema/raw/master/csl-citation.json"}</w:instrText>
      </w:r>
      <w:r w:rsidRPr="002C1BA2">
        <w:rPr>
          <w:rFonts w:ascii="Book Antiqua" w:hAnsi="Book Antiqua"/>
          <w:color w:val="000000" w:themeColor="text1"/>
          <w:sz w:val="24"/>
          <w:szCs w:val="24"/>
        </w:rPr>
        <w:fldChar w:fldCharType="separate"/>
      </w:r>
      <w:r w:rsidRPr="002C1BA2">
        <w:rPr>
          <w:rFonts w:ascii="Book Antiqua" w:hAnsi="Book Antiqua"/>
          <w:noProof/>
          <w:color w:val="000000" w:themeColor="text1"/>
          <w:sz w:val="24"/>
          <w:szCs w:val="24"/>
        </w:rPr>
        <w:t>(Medan PTA Decision Number 68/Pdt.G/2016/PTA.Mdn Page 8, n.d.)</w:t>
      </w:r>
      <w:r w:rsidRPr="002C1BA2">
        <w:rPr>
          <w:rFonts w:ascii="Book Antiqua" w:hAnsi="Book Antiqua"/>
          <w:color w:val="000000" w:themeColor="text1"/>
          <w:sz w:val="24"/>
          <w:szCs w:val="24"/>
        </w:rPr>
        <w:fldChar w:fldCharType="end"/>
      </w:r>
      <w:r w:rsidRPr="002C1BA2">
        <w:rPr>
          <w:rFonts w:ascii="Book Antiqua" w:hAnsi="Book Antiqua"/>
          <w:color w:val="000000" w:themeColor="text1"/>
          <w:sz w:val="24"/>
          <w:szCs w:val="24"/>
        </w:rPr>
        <w:t>. Some other judges have decided that the default was not due to the customer's negligence, so the LKS was required to return the collateral to the customer, as stated in the Medan PA Decision Number 944/</w:t>
      </w:r>
      <w:proofErr w:type="spellStart"/>
      <w:r w:rsidRPr="002C1BA2">
        <w:rPr>
          <w:rFonts w:ascii="Book Antiqua" w:hAnsi="Book Antiqua"/>
          <w:color w:val="000000" w:themeColor="text1"/>
          <w:sz w:val="24"/>
          <w:szCs w:val="24"/>
        </w:rPr>
        <w:t>Pdt.G</w:t>
      </w:r>
      <w:proofErr w:type="spellEnd"/>
      <w:r w:rsidRPr="002C1BA2">
        <w:rPr>
          <w:rFonts w:ascii="Book Antiqua" w:hAnsi="Book Antiqua"/>
          <w:color w:val="000000" w:themeColor="text1"/>
          <w:sz w:val="24"/>
          <w:szCs w:val="24"/>
        </w:rPr>
        <w:t>/2015/</w:t>
      </w:r>
      <w:proofErr w:type="spellStart"/>
      <w:r w:rsidRPr="002C1BA2">
        <w:rPr>
          <w:rFonts w:ascii="Book Antiqua" w:hAnsi="Book Antiqua"/>
          <w:color w:val="000000" w:themeColor="text1"/>
          <w:sz w:val="24"/>
          <w:szCs w:val="24"/>
        </w:rPr>
        <w:t>PA.Mdn</w:t>
      </w:r>
      <w:proofErr w:type="spellEnd"/>
      <w:r w:rsidRPr="002C1BA2">
        <w:rPr>
          <w:rFonts w:ascii="Book Antiqua" w:hAnsi="Book Antiqua"/>
          <w:color w:val="000000" w:themeColor="text1"/>
          <w:sz w:val="24"/>
          <w:szCs w:val="24"/>
        </w:rPr>
        <w:t xml:space="preserve"> </w:t>
      </w:r>
      <w:r w:rsidRPr="002C1BA2">
        <w:rPr>
          <w:rFonts w:ascii="Book Antiqua" w:hAnsi="Book Antiqua"/>
          <w:color w:val="000000" w:themeColor="text1"/>
          <w:sz w:val="24"/>
          <w:szCs w:val="24"/>
        </w:rPr>
        <w:fldChar w:fldCharType="begin" w:fldLock="1"/>
      </w:r>
      <w:r w:rsidRPr="002C1BA2">
        <w:rPr>
          <w:rFonts w:ascii="Book Antiqua" w:hAnsi="Book Antiqua"/>
          <w:color w:val="000000" w:themeColor="text1"/>
          <w:sz w:val="24"/>
          <w:szCs w:val="24"/>
        </w:rPr>
        <w:instrText>ADDIN CSL_CITATION {"citationItems":[{"id":"ITEM-1","itemData":{"id":"ITEM-1","issued":{"date-parts":[["0"]]},"title":"Putusan PA Medan Nomor 944/Pdt.G/ 2015/PA.Mdn halaman 55 – 57","type":"article-journal"},"uris":["http://www.mendeley.com/documents/?uuid=778c6471-2692-44f2-a281-536608bf83b0"]}],"mendeley":{"formattedCitation":"(&lt;i&gt;Putusan PA Medan Nomor 944/Pdt.G/ 2015/PA.Mdn Halaman 55 – 57&lt;/i&gt;, n.d.)","plainTextFormattedCitation":"(Putusan PA Medan Nomor 944/Pdt.G/ 2015/PA.Mdn Halaman 55 – 57, n.d.)","previouslyFormattedCitation":"(&lt;i&gt;Putusan PA Medan Nomor 944/Pdt.G/ 2015/PA.Mdn Halaman 55 – 57&lt;/i&gt;, n.d.)"},"properties":{"noteIndex":0},"schema":"https://github.com/citation-style-language/schema/raw/master/csl-citation.json"}</w:instrText>
      </w:r>
      <w:r w:rsidRPr="002C1BA2">
        <w:rPr>
          <w:rFonts w:ascii="Book Antiqua" w:hAnsi="Book Antiqua"/>
          <w:color w:val="000000" w:themeColor="text1"/>
          <w:sz w:val="24"/>
          <w:szCs w:val="24"/>
        </w:rPr>
        <w:fldChar w:fldCharType="separate"/>
      </w:r>
      <w:r w:rsidRPr="002C1BA2">
        <w:rPr>
          <w:rFonts w:ascii="Book Antiqua" w:hAnsi="Book Antiqua"/>
          <w:noProof/>
          <w:color w:val="000000" w:themeColor="text1"/>
          <w:sz w:val="24"/>
          <w:szCs w:val="24"/>
        </w:rPr>
        <w:t>(Medan PA Decision Number 944/Pdt.G/2015/PA.Mdn Pages 55 – 57, n.d.)</w:t>
      </w:r>
      <w:r w:rsidRPr="002C1BA2">
        <w:rPr>
          <w:rFonts w:ascii="Book Antiqua" w:hAnsi="Book Antiqua"/>
          <w:color w:val="000000" w:themeColor="text1"/>
          <w:sz w:val="24"/>
          <w:szCs w:val="24"/>
        </w:rPr>
        <w:fldChar w:fldCharType="end"/>
      </w:r>
      <w:r w:rsidRPr="002C1BA2">
        <w:rPr>
          <w:rFonts w:ascii="Book Antiqua" w:hAnsi="Book Antiqua"/>
          <w:color w:val="000000" w:themeColor="text1"/>
          <w:sz w:val="24"/>
          <w:szCs w:val="24"/>
        </w:rPr>
        <w:t xml:space="preserve"> dated March 10, 2016. While some other judges have even studied which party actually had a role in the failure to pay, so he found that it turned out that the customer and the LKS both had a share in the error that caused the default to occur, so that the collateral that had already been auctioned off, part of the money must be returned to the customer, as stated in the decision of Cassation Number 624 K/Ag/2017 </w:t>
      </w:r>
      <w:r w:rsidRPr="002C1BA2">
        <w:rPr>
          <w:rFonts w:ascii="Book Antiqua" w:hAnsi="Book Antiqua"/>
          <w:color w:val="000000" w:themeColor="text1"/>
          <w:sz w:val="24"/>
          <w:szCs w:val="24"/>
        </w:rPr>
        <w:fldChar w:fldCharType="begin" w:fldLock="1"/>
      </w:r>
      <w:r w:rsidRPr="002C1BA2">
        <w:rPr>
          <w:rFonts w:ascii="Book Antiqua" w:hAnsi="Book Antiqua"/>
          <w:color w:val="000000" w:themeColor="text1"/>
          <w:sz w:val="24"/>
          <w:szCs w:val="24"/>
        </w:rPr>
        <w:instrText>ADDIN CSL_CITATION {"citationItems":[{"id":"ITEM-1","itemData":{"id":"ITEM-1","issued":{"date-parts":[["0"]]},"title":"Putusan Kasasi Mahkamah Agung Nomor 624 K/Ag/2017 halaman 25 – 26","type":"article-journal"},"uris":["http://www.mendeley.com/documents/?uuid=e948fd16-e073-480f-ae31-6ebf7ec0ef1b"]}],"mendeley":{"formattedCitation":"(&lt;i&gt;Putusan Kasasi Mahkamah Agung Nomor 624 K/Ag/2017 Halaman 25 – 26&lt;/i&gt;, n.d.)","plainTextFormattedCitation":"(Putusan Kasasi Mahkamah Agung Nomor 624 K/Ag/2017 Halaman 25 – 26, n.d.)","previouslyFormattedCitation":"(&lt;i&gt;Putusan Kasasi Mahkamah Agung Nomor 624 K/Ag/2017 Halaman 25 – 26&lt;/i&gt;, n.d.)"},"properties":{"noteIndex":0},"schema":"https://github.com/citation-style-language/schema/raw/master/csl-citation.json"}</w:instrText>
      </w:r>
      <w:r w:rsidRPr="002C1BA2">
        <w:rPr>
          <w:rFonts w:ascii="Book Antiqua" w:hAnsi="Book Antiqua"/>
          <w:color w:val="000000" w:themeColor="text1"/>
          <w:sz w:val="24"/>
          <w:szCs w:val="24"/>
        </w:rPr>
        <w:fldChar w:fldCharType="separate"/>
      </w:r>
      <w:r w:rsidRPr="002C1BA2">
        <w:rPr>
          <w:rFonts w:ascii="Book Antiqua" w:hAnsi="Book Antiqua"/>
          <w:noProof/>
          <w:color w:val="000000" w:themeColor="text1"/>
          <w:sz w:val="24"/>
          <w:szCs w:val="24"/>
        </w:rPr>
        <w:t>(</w:t>
      </w:r>
      <w:r w:rsidRPr="002C1BA2">
        <w:rPr>
          <w:rFonts w:ascii="Book Antiqua" w:hAnsi="Book Antiqua"/>
          <w:i/>
          <w:noProof/>
          <w:color w:val="000000" w:themeColor="text1"/>
          <w:sz w:val="24"/>
          <w:szCs w:val="24"/>
        </w:rPr>
        <w:t>Supreme Court Cassation Decision Number 624 K/Ag/2017 Pages 25 – 26, n.d.</w:t>
      </w:r>
      <w:r w:rsidRPr="002C1BA2">
        <w:rPr>
          <w:rFonts w:ascii="Book Antiqua" w:hAnsi="Book Antiqua"/>
          <w:noProof/>
          <w:color w:val="000000" w:themeColor="text1"/>
          <w:sz w:val="24"/>
          <w:szCs w:val="24"/>
        </w:rPr>
        <w:t>)</w:t>
      </w:r>
      <w:r w:rsidRPr="002C1BA2">
        <w:rPr>
          <w:rFonts w:ascii="Book Antiqua" w:hAnsi="Book Antiqua"/>
          <w:color w:val="000000" w:themeColor="text1"/>
          <w:sz w:val="24"/>
          <w:szCs w:val="24"/>
        </w:rPr>
        <w:fldChar w:fldCharType="end"/>
      </w:r>
      <w:r w:rsidRPr="002C1BA2">
        <w:rPr>
          <w:rFonts w:ascii="Book Antiqua" w:hAnsi="Book Antiqua"/>
          <w:color w:val="000000" w:themeColor="text1"/>
          <w:sz w:val="24"/>
          <w:szCs w:val="24"/>
        </w:rPr>
        <w:t xml:space="preserve"> dated October 25, 2017. </w:t>
      </w:r>
    </w:p>
    <w:p w14:paraId="2AC3E163" w14:textId="77777777" w:rsidR="002C1BA2" w:rsidRPr="002C1BA2" w:rsidRDefault="002C1BA2" w:rsidP="002C1BA2">
      <w:pPr>
        <w:pStyle w:val="ListParagraph"/>
        <w:numPr>
          <w:ilvl w:val="0"/>
          <w:numId w:val="47"/>
        </w:numPr>
        <w:spacing w:after="0" w:line="240" w:lineRule="auto"/>
        <w:ind w:left="851" w:hanging="426"/>
        <w:jc w:val="both"/>
        <w:rPr>
          <w:rFonts w:ascii="Book Antiqua" w:hAnsi="Book Antiqua"/>
          <w:b/>
          <w:bCs/>
          <w:color w:val="000000" w:themeColor="text1"/>
          <w:sz w:val="24"/>
          <w:szCs w:val="24"/>
        </w:rPr>
      </w:pPr>
      <w:r w:rsidRPr="002C1BA2">
        <w:rPr>
          <w:rFonts w:ascii="Book Antiqua" w:hAnsi="Book Antiqua"/>
          <w:b/>
          <w:bCs/>
          <w:color w:val="000000" w:themeColor="text1"/>
          <w:sz w:val="24"/>
          <w:szCs w:val="24"/>
        </w:rPr>
        <w:t xml:space="preserve">Judge's Legal Reasoning </w:t>
      </w:r>
      <w:proofErr w:type="gramStart"/>
      <w:r w:rsidRPr="002C1BA2">
        <w:rPr>
          <w:rFonts w:ascii="Book Antiqua" w:hAnsi="Book Antiqua"/>
          <w:b/>
          <w:bCs/>
          <w:color w:val="000000" w:themeColor="text1"/>
          <w:sz w:val="24"/>
          <w:szCs w:val="24"/>
        </w:rPr>
        <w:t>In</w:t>
      </w:r>
      <w:proofErr w:type="gramEnd"/>
      <w:r w:rsidRPr="002C1BA2">
        <w:rPr>
          <w:rFonts w:ascii="Book Antiqua" w:hAnsi="Book Antiqua"/>
          <w:b/>
          <w:bCs/>
          <w:color w:val="000000" w:themeColor="text1"/>
          <w:sz w:val="24"/>
          <w:szCs w:val="24"/>
        </w:rPr>
        <w:t xml:space="preserve"> Cases of Execution of </w:t>
      </w:r>
      <w:proofErr w:type="spellStart"/>
      <w:r w:rsidRPr="002C1BA2">
        <w:rPr>
          <w:rFonts w:ascii="Book Antiqua" w:hAnsi="Book Antiqua"/>
          <w:b/>
          <w:bCs/>
          <w:color w:val="000000" w:themeColor="text1"/>
          <w:sz w:val="24"/>
          <w:szCs w:val="24"/>
        </w:rPr>
        <w:t>Musyarakah</w:t>
      </w:r>
      <w:proofErr w:type="spellEnd"/>
      <w:r w:rsidRPr="002C1BA2">
        <w:rPr>
          <w:rFonts w:ascii="Book Antiqua" w:hAnsi="Book Antiqua"/>
          <w:b/>
          <w:bCs/>
          <w:color w:val="000000" w:themeColor="text1"/>
          <w:sz w:val="24"/>
          <w:szCs w:val="24"/>
        </w:rPr>
        <w:t xml:space="preserve"> Guarantees</w:t>
      </w:r>
    </w:p>
    <w:p w14:paraId="37AA56B3" w14:textId="77777777" w:rsidR="002C1BA2" w:rsidRPr="002C1BA2" w:rsidRDefault="002C1BA2" w:rsidP="002C1BA2">
      <w:pPr>
        <w:ind w:firstLine="720"/>
        <w:jc w:val="both"/>
        <w:rPr>
          <w:rFonts w:ascii="Book Antiqua" w:hAnsi="Book Antiqua"/>
          <w:color w:val="000000" w:themeColor="text1"/>
          <w:sz w:val="24"/>
          <w:szCs w:val="24"/>
        </w:rPr>
      </w:pPr>
      <w:r w:rsidRPr="002C1BA2">
        <w:rPr>
          <w:rFonts w:ascii="Book Antiqua" w:hAnsi="Book Antiqua"/>
          <w:color w:val="000000" w:themeColor="text1"/>
          <w:sz w:val="24"/>
          <w:szCs w:val="24"/>
        </w:rPr>
        <w:t>Among its legal considerations, the panel of judges at the first instance in case Number 944/</w:t>
      </w:r>
      <w:proofErr w:type="spellStart"/>
      <w:r w:rsidRPr="002C1BA2">
        <w:rPr>
          <w:rFonts w:ascii="Book Antiqua" w:hAnsi="Book Antiqua"/>
          <w:color w:val="000000" w:themeColor="text1"/>
          <w:sz w:val="24"/>
          <w:szCs w:val="24"/>
        </w:rPr>
        <w:t>Pdt.G</w:t>
      </w:r>
      <w:proofErr w:type="spellEnd"/>
      <w:r w:rsidRPr="002C1BA2">
        <w:rPr>
          <w:rFonts w:ascii="Book Antiqua" w:hAnsi="Book Antiqua"/>
          <w:color w:val="000000" w:themeColor="text1"/>
          <w:sz w:val="24"/>
          <w:szCs w:val="24"/>
        </w:rPr>
        <w:t>/2015/</w:t>
      </w:r>
      <w:proofErr w:type="spellStart"/>
      <w:proofErr w:type="gramStart"/>
      <w:r w:rsidRPr="002C1BA2">
        <w:rPr>
          <w:rFonts w:ascii="Book Antiqua" w:hAnsi="Book Antiqua"/>
          <w:color w:val="000000" w:themeColor="text1"/>
          <w:sz w:val="24"/>
          <w:szCs w:val="24"/>
        </w:rPr>
        <w:t>PA.Mdn</w:t>
      </w:r>
      <w:proofErr w:type="spellEnd"/>
      <w:proofErr w:type="gramEnd"/>
      <w:r w:rsidRPr="002C1BA2">
        <w:rPr>
          <w:rFonts w:ascii="Book Antiqua" w:hAnsi="Book Antiqua"/>
          <w:color w:val="000000" w:themeColor="text1"/>
          <w:sz w:val="24"/>
          <w:szCs w:val="24"/>
        </w:rPr>
        <w:t xml:space="preserve"> stated the following:</w:t>
      </w:r>
    </w:p>
    <w:p w14:paraId="1CCCF2A9" w14:textId="77777777" w:rsidR="002C1BA2" w:rsidRPr="002C1BA2" w:rsidRDefault="002C1BA2" w:rsidP="002C1BA2">
      <w:pPr>
        <w:ind w:left="709" w:right="573"/>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“Considering that the actions of Bank </w:t>
      </w:r>
      <w:proofErr w:type="spellStart"/>
      <w:r w:rsidRPr="002C1BA2">
        <w:rPr>
          <w:rFonts w:ascii="Book Antiqua" w:hAnsi="Book Antiqua"/>
          <w:color w:val="000000" w:themeColor="text1"/>
          <w:sz w:val="24"/>
          <w:szCs w:val="24"/>
        </w:rPr>
        <w:t>Sumut</w:t>
      </w:r>
      <w:proofErr w:type="spellEnd"/>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Syari'ah</w:t>
      </w:r>
      <w:proofErr w:type="spellEnd"/>
      <w:r w:rsidRPr="002C1BA2">
        <w:rPr>
          <w:rFonts w:ascii="Book Antiqua" w:hAnsi="Book Antiqua"/>
          <w:color w:val="000000" w:themeColor="text1"/>
          <w:sz w:val="24"/>
          <w:szCs w:val="24"/>
        </w:rPr>
        <w:t xml:space="preserve"> (Defendant I) directed </w:t>
      </w:r>
      <w:proofErr w:type="spellStart"/>
      <w:r w:rsidRPr="002C1BA2">
        <w:rPr>
          <w:rFonts w:ascii="Book Antiqua" w:hAnsi="Book Antiqua"/>
          <w:color w:val="000000" w:themeColor="text1"/>
          <w:sz w:val="24"/>
          <w:szCs w:val="24"/>
        </w:rPr>
        <w:t>Ogku</w:t>
      </w:r>
      <w:proofErr w:type="spellEnd"/>
      <w:r w:rsidRPr="002C1BA2">
        <w:rPr>
          <w:rFonts w:ascii="Book Antiqua" w:hAnsi="Book Antiqua"/>
          <w:color w:val="000000" w:themeColor="text1"/>
          <w:sz w:val="24"/>
          <w:szCs w:val="24"/>
        </w:rPr>
        <w:t xml:space="preserve"> Sutan </w:t>
      </w:r>
      <w:proofErr w:type="spellStart"/>
      <w:r w:rsidRPr="002C1BA2">
        <w:rPr>
          <w:rFonts w:ascii="Book Antiqua" w:hAnsi="Book Antiqua"/>
          <w:color w:val="000000" w:themeColor="text1"/>
          <w:sz w:val="24"/>
          <w:szCs w:val="24"/>
        </w:rPr>
        <w:t>Harahap</w:t>
      </w:r>
      <w:proofErr w:type="spellEnd"/>
      <w:r w:rsidRPr="002C1BA2">
        <w:rPr>
          <w:rFonts w:ascii="Book Antiqua" w:hAnsi="Book Antiqua"/>
          <w:color w:val="000000" w:themeColor="text1"/>
          <w:sz w:val="24"/>
          <w:szCs w:val="24"/>
        </w:rPr>
        <w:t xml:space="preserve"> to make a Statement Letter (T.I.II.2) and the actions of Bank </w:t>
      </w:r>
      <w:proofErr w:type="spellStart"/>
      <w:r w:rsidRPr="002C1BA2">
        <w:rPr>
          <w:rFonts w:ascii="Book Antiqua" w:hAnsi="Book Antiqua"/>
          <w:color w:val="000000" w:themeColor="text1"/>
          <w:sz w:val="24"/>
          <w:szCs w:val="24"/>
        </w:rPr>
        <w:t>Sumut</w:t>
      </w:r>
      <w:proofErr w:type="spellEnd"/>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Syari'ah</w:t>
      </w:r>
      <w:proofErr w:type="spellEnd"/>
      <w:r w:rsidRPr="002C1BA2">
        <w:rPr>
          <w:rFonts w:ascii="Book Antiqua" w:hAnsi="Book Antiqua"/>
          <w:color w:val="000000" w:themeColor="text1"/>
          <w:sz w:val="24"/>
          <w:szCs w:val="24"/>
        </w:rPr>
        <w:t xml:space="preserve"> (Defendant I) continued to disburse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which at first glance seemed easy, actually </w:t>
      </w:r>
      <w:r w:rsidRPr="002C1BA2">
        <w:rPr>
          <w:rFonts w:ascii="Book Antiqua" w:hAnsi="Book Antiqua"/>
          <w:b/>
          <w:bCs/>
          <w:color w:val="000000" w:themeColor="text1"/>
          <w:sz w:val="24"/>
          <w:szCs w:val="24"/>
        </w:rPr>
        <w:t>trapped</w:t>
      </w:r>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Ogku</w:t>
      </w:r>
      <w:proofErr w:type="spellEnd"/>
      <w:r w:rsidRPr="002C1BA2">
        <w:rPr>
          <w:rFonts w:ascii="Book Antiqua" w:hAnsi="Book Antiqua"/>
          <w:color w:val="000000" w:themeColor="text1"/>
          <w:sz w:val="24"/>
          <w:szCs w:val="24"/>
        </w:rPr>
        <w:t xml:space="preserve"> Sutan </w:t>
      </w:r>
      <w:proofErr w:type="spellStart"/>
      <w:r w:rsidRPr="002C1BA2">
        <w:rPr>
          <w:rFonts w:ascii="Book Antiqua" w:hAnsi="Book Antiqua"/>
          <w:color w:val="000000" w:themeColor="text1"/>
          <w:sz w:val="24"/>
          <w:szCs w:val="24"/>
        </w:rPr>
        <w:t>Harahap</w:t>
      </w:r>
      <w:proofErr w:type="spellEnd"/>
      <w:r w:rsidRPr="002C1BA2">
        <w:rPr>
          <w:rFonts w:ascii="Book Antiqua" w:hAnsi="Book Antiqua"/>
          <w:color w:val="000000" w:themeColor="text1"/>
          <w:sz w:val="24"/>
          <w:szCs w:val="24"/>
        </w:rPr>
        <w:t xml:space="preserve">, so that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received by </w:t>
      </w:r>
      <w:proofErr w:type="spellStart"/>
      <w:r w:rsidRPr="002C1BA2">
        <w:rPr>
          <w:rFonts w:ascii="Book Antiqua" w:hAnsi="Book Antiqua"/>
          <w:color w:val="000000" w:themeColor="text1"/>
          <w:sz w:val="24"/>
          <w:szCs w:val="24"/>
        </w:rPr>
        <w:t>Ogku</w:t>
      </w:r>
      <w:proofErr w:type="spellEnd"/>
      <w:r w:rsidRPr="002C1BA2">
        <w:rPr>
          <w:rFonts w:ascii="Book Antiqua" w:hAnsi="Book Antiqua"/>
          <w:color w:val="000000" w:themeColor="text1"/>
          <w:sz w:val="24"/>
          <w:szCs w:val="24"/>
        </w:rPr>
        <w:t xml:space="preserve"> Sutan </w:t>
      </w:r>
      <w:proofErr w:type="spellStart"/>
      <w:r w:rsidRPr="002C1BA2">
        <w:rPr>
          <w:rFonts w:ascii="Book Antiqua" w:hAnsi="Book Antiqua"/>
          <w:color w:val="000000" w:themeColor="text1"/>
          <w:sz w:val="24"/>
          <w:szCs w:val="24"/>
        </w:rPr>
        <w:t>Harahap</w:t>
      </w:r>
      <w:proofErr w:type="spellEnd"/>
      <w:r w:rsidRPr="002C1BA2">
        <w:rPr>
          <w:rFonts w:ascii="Book Antiqua" w:hAnsi="Book Antiqua"/>
          <w:color w:val="000000" w:themeColor="text1"/>
          <w:sz w:val="24"/>
          <w:szCs w:val="24"/>
        </w:rPr>
        <w:t xml:space="preserve"> </w:t>
      </w:r>
      <w:r w:rsidRPr="002C1BA2">
        <w:rPr>
          <w:rFonts w:ascii="Book Antiqua" w:hAnsi="Book Antiqua"/>
          <w:b/>
          <w:bCs/>
          <w:color w:val="000000" w:themeColor="text1"/>
          <w:sz w:val="24"/>
          <w:szCs w:val="24"/>
        </w:rPr>
        <w:t>did not receive legal protection</w:t>
      </w:r>
      <w:r w:rsidRPr="002C1BA2">
        <w:rPr>
          <w:rFonts w:ascii="Book Antiqua" w:hAnsi="Book Antiqua"/>
          <w:color w:val="000000" w:themeColor="text1"/>
          <w:sz w:val="24"/>
          <w:szCs w:val="24"/>
        </w:rPr>
        <w:t xml:space="preserve"> from Insurance (Defendant III), in this case the Bank </w:t>
      </w:r>
      <w:proofErr w:type="spellStart"/>
      <w:r w:rsidRPr="002C1BA2">
        <w:rPr>
          <w:rFonts w:ascii="Book Antiqua" w:hAnsi="Book Antiqua"/>
          <w:color w:val="000000" w:themeColor="text1"/>
          <w:sz w:val="24"/>
          <w:szCs w:val="24"/>
        </w:rPr>
        <w:t>Sumut</w:t>
      </w:r>
      <w:proofErr w:type="spellEnd"/>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Syari'ah</w:t>
      </w:r>
      <w:proofErr w:type="spellEnd"/>
      <w:r w:rsidRPr="002C1BA2">
        <w:rPr>
          <w:rFonts w:ascii="Book Antiqua" w:hAnsi="Book Antiqua"/>
          <w:color w:val="000000" w:themeColor="text1"/>
          <w:sz w:val="24"/>
          <w:szCs w:val="24"/>
        </w:rPr>
        <w:t xml:space="preserve"> (Defendant I) could not possibly not know the </w:t>
      </w:r>
      <w:r w:rsidRPr="002C1BA2">
        <w:rPr>
          <w:rFonts w:ascii="Book Antiqua" w:hAnsi="Book Antiqua"/>
          <w:color w:val="000000" w:themeColor="text1"/>
          <w:sz w:val="24"/>
          <w:szCs w:val="24"/>
        </w:rPr>
        <w:lastRenderedPageBreak/>
        <w:t xml:space="preserve">consequences that would be borne by </w:t>
      </w:r>
      <w:proofErr w:type="spellStart"/>
      <w:r w:rsidRPr="002C1BA2">
        <w:rPr>
          <w:rFonts w:ascii="Book Antiqua" w:hAnsi="Book Antiqua"/>
          <w:color w:val="000000" w:themeColor="text1"/>
          <w:sz w:val="24"/>
          <w:szCs w:val="24"/>
        </w:rPr>
        <w:t>Ongku</w:t>
      </w:r>
      <w:proofErr w:type="spellEnd"/>
      <w:r w:rsidRPr="002C1BA2">
        <w:rPr>
          <w:rFonts w:ascii="Book Antiqua" w:hAnsi="Book Antiqua"/>
          <w:color w:val="000000" w:themeColor="text1"/>
          <w:sz w:val="24"/>
          <w:szCs w:val="24"/>
        </w:rPr>
        <w:t xml:space="preserve"> Sutan </w:t>
      </w:r>
      <w:proofErr w:type="spellStart"/>
      <w:r w:rsidRPr="002C1BA2">
        <w:rPr>
          <w:rFonts w:ascii="Book Antiqua" w:hAnsi="Book Antiqua"/>
          <w:color w:val="000000" w:themeColor="text1"/>
          <w:sz w:val="24"/>
          <w:szCs w:val="24"/>
        </w:rPr>
        <w:t>Harahap</w:t>
      </w:r>
      <w:proofErr w:type="spellEnd"/>
      <w:r w:rsidRPr="002C1BA2">
        <w:rPr>
          <w:rFonts w:ascii="Book Antiqua" w:hAnsi="Book Antiqua"/>
          <w:color w:val="000000" w:themeColor="text1"/>
          <w:sz w:val="24"/>
          <w:szCs w:val="24"/>
        </w:rPr>
        <w:t xml:space="preserve"> and his heirs later if something unwanted (death) happened to </w:t>
      </w:r>
      <w:proofErr w:type="spellStart"/>
      <w:r w:rsidRPr="002C1BA2">
        <w:rPr>
          <w:rFonts w:ascii="Book Antiqua" w:hAnsi="Book Antiqua"/>
          <w:color w:val="000000" w:themeColor="text1"/>
          <w:sz w:val="24"/>
          <w:szCs w:val="24"/>
        </w:rPr>
        <w:t>Ogku</w:t>
      </w:r>
      <w:proofErr w:type="spellEnd"/>
      <w:r w:rsidRPr="002C1BA2">
        <w:rPr>
          <w:rFonts w:ascii="Book Antiqua" w:hAnsi="Book Antiqua"/>
          <w:color w:val="000000" w:themeColor="text1"/>
          <w:sz w:val="24"/>
          <w:szCs w:val="24"/>
        </w:rPr>
        <w:t xml:space="preserve"> Sutan </w:t>
      </w:r>
      <w:proofErr w:type="spellStart"/>
      <w:r w:rsidRPr="002C1BA2">
        <w:rPr>
          <w:rFonts w:ascii="Book Antiqua" w:hAnsi="Book Antiqua"/>
          <w:color w:val="000000" w:themeColor="text1"/>
          <w:sz w:val="24"/>
          <w:szCs w:val="24"/>
        </w:rPr>
        <w:t>Harahap</w:t>
      </w:r>
      <w:proofErr w:type="spellEnd"/>
      <w:r w:rsidRPr="002C1BA2">
        <w:rPr>
          <w:rFonts w:ascii="Book Antiqua" w:hAnsi="Book Antiqua"/>
          <w:color w:val="000000" w:themeColor="text1"/>
          <w:sz w:val="24"/>
          <w:szCs w:val="24"/>
        </w:rPr>
        <w:t xml:space="preserve">, Bank </w:t>
      </w:r>
      <w:proofErr w:type="spellStart"/>
      <w:r w:rsidRPr="002C1BA2">
        <w:rPr>
          <w:rFonts w:ascii="Book Antiqua" w:hAnsi="Book Antiqua"/>
          <w:color w:val="000000" w:themeColor="text1"/>
          <w:sz w:val="24"/>
          <w:szCs w:val="24"/>
        </w:rPr>
        <w:t>Sumut</w:t>
      </w:r>
      <w:proofErr w:type="spellEnd"/>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Syari'ah</w:t>
      </w:r>
      <w:proofErr w:type="spellEnd"/>
      <w:r w:rsidRPr="002C1BA2">
        <w:rPr>
          <w:rFonts w:ascii="Book Antiqua" w:hAnsi="Book Antiqua"/>
          <w:color w:val="000000" w:themeColor="text1"/>
          <w:sz w:val="24"/>
          <w:szCs w:val="24"/>
        </w:rPr>
        <w:t xml:space="preserve"> (Defendant I) seemed to only pursue targets or pursue profit (profit oriented) and ignore the protection side of customers. Considering, whereas according to the panel of judges, Bank </w:t>
      </w:r>
      <w:proofErr w:type="spellStart"/>
      <w:r w:rsidRPr="002C1BA2">
        <w:rPr>
          <w:rFonts w:ascii="Book Antiqua" w:hAnsi="Book Antiqua"/>
          <w:color w:val="000000" w:themeColor="text1"/>
          <w:sz w:val="24"/>
          <w:szCs w:val="24"/>
        </w:rPr>
        <w:t>Sumut</w:t>
      </w:r>
      <w:proofErr w:type="spellEnd"/>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Syari'ah</w:t>
      </w:r>
      <w:proofErr w:type="spellEnd"/>
      <w:r w:rsidRPr="002C1BA2">
        <w:rPr>
          <w:rFonts w:ascii="Book Antiqua" w:hAnsi="Book Antiqua"/>
          <w:color w:val="000000" w:themeColor="text1"/>
          <w:sz w:val="24"/>
          <w:szCs w:val="24"/>
        </w:rPr>
        <w:t xml:space="preserve"> (Defendant I) should make all the requirements of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Agreement an inseparable unit, both requirements that function to protect the interests of Bank </w:t>
      </w:r>
      <w:proofErr w:type="spellStart"/>
      <w:r w:rsidRPr="002C1BA2">
        <w:rPr>
          <w:rFonts w:ascii="Book Antiqua" w:hAnsi="Book Antiqua"/>
          <w:color w:val="000000" w:themeColor="text1"/>
          <w:sz w:val="24"/>
          <w:szCs w:val="24"/>
        </w:rPr>
        <w:t>Sumut</w:t>
      </w:r>
      <w:proofErr w:type="spellEnd"/>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Syari'ah</w:t>
      </w:r>
      <w:proofErr w:type="spellEnd"/>
      <w:r w:rsidRPr="002C1BA2">
        <w:rPr>
          <w:rFonts w:ascii="Book Antiqua" w:hAnsi="Book Antiqua"/>
          <w:color w:val="000000" w:themeColor="text1"/>
          <w:sz w:val="24"/>
          <w:szCs w:val="24"/>
        </w:rPr>
        <w:t xml:space="preserve"> (Defendant I) such as ID cards and collateral as well as requirements that function to protect the interests of the customer (</w:t>
      </w:r>
      <w:proofErr w:type="spellStart"/>
      <w:r w:rsidRPr="002C1BA2">
        <w:rPr>
          <w:rFonts w:ascii="Book Antiqua" w:hAnsi="Book Antiqua"/>
          <w:color w:val="000000" w:themeColor="text1"/>
          <w:sz w:val="24"/>
          <w:szCs w:val="24"/>
        </w:rPr>
        <w:t>Ongku</w:t>
      </w:r>
      <w:proofErr w:type="spellEnd"/>
      <w:r w:rsidRPr="002C1BA2">
        <w:rPr>
          <w:rFonts w:ascii="Book Antiqua" w:hAnsi="Book Antiqua"/>
          <w:color w:val="000000" w:themeColor="text1"/>
          <w:sz w:val="24"/>
          <w:szCs w:val="24"/>
        </w:rPr>
        <w:t xml:space="preserve"> Sutan </w:t>
      </w:r>
      <w:proofErr w:type="spellStart"/>
      <w:r w:rsidRPr="002C1BA2">
        <w:rPr>
          <w:rFonts w:ascii="Book Antiqua" w:hAnsi="Book Antiqua"/>
          <w:color w:val="000000" w:themeColor="text1"/>
          <w:sz w:val="24"/>
          <w:szCs w:val="24"/>
        </w:rPr>
        <w:t>Harahap</w:t>
      </w:r>
      <w:proofErr w:type="spellEnd"/>
      <w:r w:rsidRPr="002C1BA2">
        <w:rPr>
          <w:rFonts w:ascii="Book Antiqua" w:hAnsi="Book Antiqua"/>
          <w:color w:val="000000" w:themeColor="text1"/>
          <w:sz w:val="24"/>
          <w:szCs w:val="24"/>
        </w:rPr>
        <w:t xml:space="preserve">) such as medical check-up requirements. Considering, that by ignoring medical check-up requirements and continuing to disburse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Bank </w:t>
      </w:r>
      <w:proofErr w:type="spellStart"/>
      <w:r w:rsidRPr="002C1BA2">
        <w:rPr>
          <w:rFonts w:ascii="Book Antiqua" w:hAnsi="Book Antiqua"/>
          <w:color w:val="000000" w:themeColor="text1"/>
          <w:sz w:val="24"/>
          <w:szCs w:val="24"/>
        </w:rPr>
        <w:t>Sumut</w:t>
      </w:r>
      <w:proofErr w:type="spellEnd"/>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Syari'ah</w:t>
      </w:r>
      <w:proofErr w:type="spellEnd"/>
      <w:r w:rsidRPr="002C1BA2">
        <w:rPr>
          <w:rFonts w:ascii="Book Antiqua" w:hAnsi="Book Antiqua"/>
          <w:color w:val="000000" w:themeColor="text1"/>
          <w:sz w:val="24"/>
          <w:szCs w:val="24"/>
        </w:rPr>
        <w:t xml:space="preserve"> (Defendant I) has actually only considered the interests of Bank </w:t>
      </w:r>
      <w:proofErr w:type="spellStart"/>
      <w:r w:rsidRPr="002C1BA2">
        <w:rPr>
          <w:rFonts w:ascii="Book Antiqua" w:hAnsi="Book Antiqua"/>
          <w:color w:val="000000" w:themeColor="text1"/>
          <w:sz w:val="24"/>
          <w:szCs w:val="24"/>
        </w:rPr>
        <w:t>Sumut</w:t>
      </w:r>
      <w:proofErr w:type="spellEnd"/>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Syari'ah</w:t>
      </w:r>
      <w:proofErr w:type="spellEnd"/>
      <w:r w:rsidRPr="002C1BA2">
        <w:rPr>
          <w:rFonts w:ascii="Book Antiqua" w:hAnsi="Book Antiqua"/>
          <w:color w:val="000000" w:themeColor="text1"/>
          <w:sz w:val="24"/>
          <w:szCs w:val="24"/>
        </w:rPr>
        <w:t xml:space="preserve"> (Defendant I), therefore Bank </w:t>
      </w:r>
      <w:proofErr w:type="spellStart"/>
      <w:r w:rsidRPr="002C1BA2">
        <w:rPr>
          <w:rFonts w:ascii="Book Antiqua" w:hAnsi="Book Antiqua"/>
          <w:color w:val="000000" w:themeColor="text1"/>
          <w:sz w:val="24"/>
          <w:szCs w:val="24"/>
        </w:rPr>
        <w:t>Sumut</w:t>
      </w:r>
      <w:proofErr w:type="spellEnd"/>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Syari'ah</w:t>
      </w:r>
      <w:proofErr w:type="spellEnd"/>
      <w:r w:rsidRPr="002C1BA2">
        <w:rPr>
          <w:rFonts w:ascii="Book Antiqua" w:hAnsi="Book Antiqua"/>
          <w:color w:val="000000" w:themeColor="text1"/>
          <w:sz w:val="24"/>
          <w:szCs w:val="24"/>
        </w:rPr>
        <w:t xml:space="preserve"> (Defendant I), has violated the principle of mutual benefit as referred to in Article 21 letter e of the Compilation of Sharia Economic Law and the policy of Bank </w:t>
      </w:r>
      <w:proofErr w:type="spellStart"/>
      <w:r w:rsidRPr="002C1BA2">
        <w:rPr>
          <w:rFonts w:ascii="Book Antiqua" w:hAnsi="Book Antiqua"/>
          <w:color w:val="000000" w:themeColor="text1"/>
          <w:sz w:val="24"/>
          <w:szCs w:val="24"/>
        </w:rPr>
        <w:t>Sumut</w:t>
      </w:r>
      <w:proofErr w:type="spellEnd"/>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Syari'ah</w:t>
      </w:r>
      <w:proofErr w:type="spellEnd"/>
      <w:r w:rsidRPr="002C1BA2">
        <w:rPr>
          <w:rFonts w:ascii="Book Antiqua" w:hAnsi="Book Antiqua"/>
          <w:color w:val="000000" w:themeColor="text1"/>
          <w:sz w:val="24"/>
          <w:szCs w:val="24"/>
        </w:rPr>
        <w:t xml:space="preserve"> (Defendant I) to continue to disburse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even though the requirements are not complete, it can be categorized as trapping the customer, because it contradicts and has violated the principle of good faith as referred to in Article 21 letter j of the Compilation of Sharia Economic Law.” </w:t>
      </w:r>
      <w:r w:rsidRPr="002C1BA2">
        <w:rPr>
          <w:rFonts w:ascii="Book Antiqua" w:hAnsi="Book Antiqua"/>
          <w:color w:val="000000" w:themeColor="text1"/>
          <w:sz w:val="24"/>
          <w:szCs w:val="24"/>
        </w:rPr>
        <w:fldChar w:fldCharType="begin" w:fldLock="1"/>
      </w:r>
      <w:r w:rsidRPr="002C1BA2">
        <w:rPr>
          <w:rFonts w:ascii="Book Antiqua" w:hAnsi="Book Antiqua"/>
          <w:color w:val="000000" w:themeColor="text1"/>
          <w:sz w:val="24"/>
          <w:szCs w:val="24"/>
        </w:rPr>
        <w:instrText>ADDIN CSL_CITATION {"citationItems":[{"id":"ITEM-1","itemData":{"id":"ITEM-1","issued":{"date-parts":[["0"]]},"title":"Putusan PA Medan Nomor 944/Pdt.G/ 2015/PA.Mdn halaman 55 – 57","type":"article-journal"},"uris":["http://www.mendeley.com/documents/?uuid=778c6471-2692-44f2-a281-536608bf83b0"]}],"mendeley":{"formattedCitation":"(&lt;i&gt;Putusan PA Medan Nomor 944/Pdt.G/ 2015/PA.Mdn Halaman 55 – 57&lt;/i&gt;, n.d.)","plainTextFormattedCitation":"(Putusan PA Medan Nomor 944/Pdt.G/ 2015/PA.Mdn Halaman 55 – 57, n.d.)","previouslyFormattedCitation":"(&lt;i&gt;Putusan PA Medan Nomor 944/Pdt.G/ 2015/PA.Mdn Halaman 55 – 57&lt;/i&gt;, n.d.)"},"properties":{"noteIndex":0},"schema":"https://github.com/citation-style-language/schema/raw/master/csl-citation.json"}</w:instrText>
      </w:r>
      <w:r w:rsidRPr="002C1BA2">
        <w:rPr>
          <w:rFonts w:ascii="Book Antiqua" w:hAnsi="Book Antiqua"/>
          <w:color w:val="000000" w:themeColor="text1"/>
          <w:sz w:val="24"/>
          <w:szCs w:val="24"/>
        </w:rPr>
        <w:fldChar w:fldCharType="separate"/>
      </w:r>
      <w:r w:rsidRPr="002C1BA2">
        <w:rPr>
          <w:rFonts w:ascii="Book Antiqua" w:hAnsi="Book Antiqua"/>
          <w:noProof/>
          <w:color w:val="000000" w:themeColor="text1"/>
          <w:sz w:val="24"/>
          <w:szCs w:val="24"/>
        </w:rPr>
        <w:t>(Medan PA Decision Number 944/Pdt.G/2015/PA.Mdn Pages 55 – 57, n.d.)</w:t>
      </w:r>
      <w:r w:rsidRPr="002C1BA2">
        <w:rPr>
          <w:rFonts w:ascii="Book Antiqua" w:hAnsi="Book Antiqua"/>
          <w:color w:val="000000" w:themeColor="text1"/>
          <w:sz w:val="24"/>
          <w:szCs w:val="24"/>
        </w:rPr>
        <w:fldChar w:fldCharType="end"/>
      </w:r>
      <w:r w:rsidRPr="002C1BA2">
        <w:rPr>
          <w:rFonts w:ascii="Book Antiqua" w:hAnsi="Book Antiqua"/>
          <w:color w:val="000000" w:themeColor="text1"/>
          <w:sz w:val="24"/>
          <w:szCs w:val="24"/>
        </w:rPr>
        <w:t xml:space="preserve"> </w:t>
      </w:r>
    </w:p>
    <w:p w14:paraId="7D860ADE" w14:textId="77777777" w:rsidR="002C1BA2" w:rsidRPr="002C1BA2" w:rsidRDefault="002C1BA2" w:rsidP="002C1BA2">
      <w:pPr>
        <w:spacing w:before="120"/>
        <w:ind w:right="573" w:firstLine="709"/>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From the description above, the Panel of Judges saw that there was an element of intentional error on the part of PT. Bank </w:t>
      </w:r>
      <w:proofErr w:type="spellStart"/>
      <w:r w:rsidRPr="002C1BA2">
        <w:rPr>
          <w:rFonts w:ascii="Book Antiqua" w:hAnsi="Book Antiqua"/>
          <w:color w:val="000000" w:themeColor="text1"/>
          <w:sz w:val="24"/>
          <w:szCs w:val="24"/>
        </w:rPr>
        <w:t>Sumut</w:t>
      </w:r>
      <w:proofErr w:type="spellEnd"/>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Syari'ah</w:t>
      </w:r>
      <w:proofErr w:type="spellEnd"/>
      <w:r w:rsidRPr="002C1BA2">
        <w:rPr>
          <w:rFonts w:ascii="Book Antiqua" w:hAnsi="Book Antiqua"/>
          <w:color w:val="000000" w:themeColor="text1"/>
          <w:sz w:val="24"/>
          <w:szCs w:val="24"/>
        </w:rPr>
        <w:t xml:space="preserve"> (Defendant I) which facilitates the disbursement of </w:t>
      </w:r>
      <w:proofErr w:type="spellStart"/>
      <w:r w:rsidRPr="002C1BA2">
        <w:rPr>
          <w:rFonts w:ascii="Book Antiqua" w:hAnsi="Book Antiqua"/>
          <w:i/>
          <w:iCs/>
          <w:color w:val="000000" w:themeColor="text1"/>
          <w:sz w:val="24"/>
          <w:szCs w:val="24"/>
        </w:rPr>
        <w:t>musyarakah</w:t>
      </w:r>
      <w:proofErr w:type="spellEnd"/>
      <w:r w:rsidRPr="002C1BA2">
        <w:rPr>
          <w:rFonts w:ascii="Book Antiqua" w:hAnsi="Book Antiqua"/>
          <w:color w:val="000000" w:themeColor="text1"/>
          <w:sz w:val="24"/>
          <w:szCs w:val="24"/>
        </w:rPr>
        <w:t xml:space="preserve"> financing by directing customers to make a statement that must be signed by Mrs. YD (Plaintiff I) even though the insurance policy has not been issued because there has been no medical </w:t>
      </w:r>
      <w:proofErr w:type="spellStart"/>
      <w:r w:rsidRPr="002C1BA2">
        <w:rPr>
          <w:rFonts w:ascii="Book Antiqua" w:hAnsi="Book Antiqua"/>
          <w:color w:val="000000" w:themeColor="text1"/>
          <w:sz w:val="24"/>
          <w:szCs w:val="24"/>
        </w:rPr>
        <w:t>check up</w:t>
      </w:r>
      <w:proofErr w:type="spellEnd"/>
      <w:r w:rsidRPr="002C1BA2">
        <w:rPr>
          <w:rFonts w:ascii="Book Antiqua" w:hAnsi="Book Antiqua"/>
          <w:color w:val="000000" w:themeColor="text1"/>
          <w:sz w:val="24"/>
          <w:szCs w:val="24"/>
        </w:rPr>
        <w:t xml:space="preserve">, which resulted in losses to the customer/ his heirs when something unwanted happens to the customer as a result of the absence of legal protection from insurance. Therefore, further in its legal considerations, the Panel of Judges of the first instance stated: </w:t>
      </w:r>
    </w:p>
    <w:p w14:paraId="1A5BDFCF" w14:textId="77777777" w:rsidR="002C1BA2" w:rsidRPr="002C1BA2" w:rsidRDefault="002C1BA2" w:rsidP="002C1BA2">
      <w:pPr>
        <w:ind w:left="709" w:right="573"/>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“Considering that </w:t>
      </w:r>
      <w:proofErr w:type="spellStart"/>
      <w:r w:rsidRPr="002C1BA2">
        <w:rPr>
          <w:rFonts w:ascii="Book Antiqua" w:hAnsi="Book Antiqua"/>
          <w:color w:val="000000" w:themeColor="text1"/>
          <w:sz w:val="24"/>
          <w:szCs w:val="24"/>
        </w:rPr>
        <w:t>Ongku</w:t>
      </w:r>
      <w:proofErr w:type="spellEnd"/>
      <w:r w:rsidRPr="002C1BA2">
        <w:rPr>
          <w:rFonts w:ascii="Book Antiqua" w:hAnsi="Book Antiqua"/>
          <w:color w:val="000000" w:themeColor="text1"/>
          <w:sz w:val="24"/>
          <w:szCs w:val="24"/>
        </w:rPr>
        <w:t xml:space="preserve"> Sutan </w:t>
      </w:r>
      <w:proofErr w:type="spellStart"/>
      <w:r w:rsidRPr="002C1BA2">
        <w:rPr>
          <w:rFonts w:ascii="Book Antiqua" w:hAnsi="Book Antiqua"/>
          <w:color w:val="000000" w:themeColor="text1"/>
          <w:sz w:val="24"/>
          <w:szCs w:val="24"/>
        </w:rPr>
        <w:t>Harahap</w:t>
      </w:r>
      <w:proofErr w:type="spellEnd"/>
      <w:r w:rsidRPr="002C1BA2">
        <w:rPr>
          <w:rFonts w:ascii="Book Antiqua" w:hAnsi="Book Antiqua"/>
          <w:color w:val="000000" w:themeColor="text1"/>
          <w:sz w:val="24"/>
          <w:szCs w:val="24"/>
        </w:rPr>
        <w:t xml:space="preserve"> who passed away on July 13, 2011, all the financing he had received should be borne by PT. </w:t>
      </w:r>
      <w:proofErr w:type="spellStart"/>
      <w:r w:rsidRPr="002C1BA2">
        <w:rPr>
          <w:rFonts w:ascii="Book Antiqua" w:hAnsi="Book Antiqua"/>
          <w:color w:val="000000" w:themeColor="text1"/>
          <w:sz w:val="24"/>
          <w:szCs w:val="24"/>
        </w:rPr>
        <w:t>Asuransi</w:t>
      </w:r>
      <w:proofErr w:type="spellEnd"/>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Bangun</w:t>
      </w:r>
      <w:proofErr w:type="spellEnd"/>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Askrida</w:t>
      </w:r>
      <w:proofErr w:type="spellEnd"/>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Syari'ah</w:t>
      </w:r>
      <w:proofErr w:type="spellEnd"/>
      <w:r w:rsidRPr="002C1BA2">
        <w:rPr>
          <w:rFonts w:ascii="Book Antiqua" w:hAnsi="Book Antiqua"/>
          <w:color w:val="000000" w:themeColor="text1"/>
          <w:sz w:val="24"/>
          <w:szCs w:val="24"/>
        </w:rPr>
        <w:t xml:space="preserve">, however, because Bank </w:t>
      </w:r>
      <w:proofErr w:type="spellStart"/>
      <w:r w:rsidRPr="002C1BA2">
        <w:rPr>
          <w:rFonts w:ascii="Book Antiqua" w:hAnsi="Book Antiqua"/>
          <w:color w:val="000000" w:themeColor="text1"/>
          <w:sz w:val="24"/>
          <w:szCs w:val="24"/>
        </w:rPr>
        <w:t>Sumut</w:t>
      </w:r>
      <w:proofErr w:type="spellEnd"/>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Syari'ah</w:t>
      </w:r>
      <w:proofErr w:type="spellEnd"/>
      <w:r w:rsidRPr="002C1BA2">
        <w:rPr>
          <w:rFonts w:ascii="Book Antiqua" w:hAnsi="Book Antiqua"/>
          <w:color w:val="000000" w:themeColor="text1"/>
          <w:sz w:val="24"/>
          <w:szCs w:val="24"/>
        </w:rPr>
        <w:t xml:space="preserve"> (Defendant I) had disbursed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before the medical check was submitted by </w:t>
      </w:r>
      <w:proofErr w:type="spellStart"/>
      <w:r w:rsidRPr="002C1BA2">
        <w:rPr>
          <w:rFonts w:ascii="Book Antiqua" w:hAnsi="Book Antiqua"/>
          <w:color w:val="000000" w:themeColor="text1"/>
          <w:sz w:val="24"/>
          <w:szCs w:val="24"/>
        </w:rPr>
        <w:t>Ongku</w:t>
      </w:r>
      <w:proofErr w:type="spellEnd"/>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sutan</w:t>
      </w:r>
      <w:proofErr w:type="spellEnd"/>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Harahap</w:t>
      </w:r>
      <w:proofErr w:type="spellEnd"/>
      <w:r w:rsidRPr="002C1BA2">
        <w:rPr>
          <w:rFonts w:ascii="Book Antiqua" w:hAnsi="Book Antiqua"/>
          <w:color w:val="000000" w:themeColor="text1"/>
          <w:sz w:val="24"/>
          <w:szCs w:val="24"/>
        </w:rPr>
        <w:t xml:space="preserve"> and before the insurance policy was issued by PT. </w:t>
      </w:r>
      <w:proofErr w:type="spellStart"/>
      <w:r w:rsidRPr="002C1BA2">
        <w:rPr>
          <w:rFonts w:ascii="Book Antiqua" w:hAnsi="Book Antiqua"/>
          <w:color w:val="000000" w:themeColor="text1"/>
          <w:sz w:val="24"/>
          <w:szCs w:val="24"/>
        </w:rPr>
        <w:t>Asuransi</w:t>
      </w:r>
      <w:proofErr w:type="spellEnd"/>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Bangun</w:t>
      </w:r>
      <w:proofErr w:type="spellEnd"/>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Askrida</w:t>
      </w:r>
      <w:proofErr w:type="spellEnd"/>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Syari'ah</w:t>
      </w:r>
      <w:proofErr w:type="spellEnd"/>
      <w:r w:rsidRPr="002C1BA2">
        <w:rPr>
          <w:rFonts w:ascii="Book Antiqua" w:hAnsi="Book Antiqua"/>
          <w:color w:val="000000" w:themeColor="text1"/>
          <w:sz w:val="24"/>
          <w:szCs w:val="24"/>
        </w:rPr>
        <w:t xml:space="preserve"> (Defendant III), then </w:t>
      </w:r>
      <w:r w:rsidRPr="002C1BA2">
        <w:rPr>
          <w:rFonts w:ascii="Book Antiqua" w:hAnsi="Book Antiqua"/>
          <w:b/>
          <w:bCs/>
          <w:color w:val="000000" w:themeColor="text1"/>
          <w:sz w:val="24"/>
          <w:szCs w:val="24"/>
        </w:rPr>
        <w:t xml:space="preserve">all obligations of </w:t>
      </w:r>
      <w:proofErr w:type="spellStart"/>
      <w:r w:rsidRPr="002C1BA2">
        <w:rPr>
          <w:rFonts w:ascii="Book Antiqua" w:hAnsi="Book Antiqua"/>
          <w:b/>
          <w:bCs/>
          <w:color w:val="000000" w:themeColor="text1"/>
          <w:sz w:val="24"/>
          <w:szCs w:val="24"/>
        </w:rPr>
        <w:t>Ongku</w:t>
      </w:r>
      <w:proofErr w:type="spellEnd"/>
      <w:r w:rsidRPr="002C1BA2">
        <w:rPr>
          <w:rFonts w:ascii="Book Antiqua" w:hAnsi="Book Antiqua"/>
          <w:b/>
          <w:bCs/>
          <w:color w:val="000000" w:themeColor="text1"/>
          <w:sz w:val="24"/>
          <w:szCs w:val="24"/>
        </w:rPr>
        <w:t xml:space="preserve"> Sutan </w:t>
      </w:r>
      <w:proofErr w:type="spellStart"/>
      <w:r w:rsidRPr="002C1BA2">
        <w:rPr>
          <w:rFonts w:ascii="Book Antiqua" w:hAnsi="Book Antiqua"/>
          <w:b/>
          <w:bCs/>
          <w:color w:val="000000" w:themeColor="text1"/>
          <w:sz w:val="24"/>
          <w:szCs w:val="24"/>
        </w:rPr>
        <w:t>Harahap</w:t>
      </w:r>
      <w:proofErr w:type="spellEnd"/>
      <w:r w:rsidRPr="002C1BA2">
        <w:rPr>
          <w:rFonts w:ascii="Book Antiqua" w:hAnsi="Book Antiqua"/>
          <w:b/>
          <w:bCs/>
          <w:color w:val="000000" w:themeColor="text1"/>
          <w:sz w:val="24"/>
          <w:szCs w:val="24"/>
        </w:rPr>
        <w:t xml:space="preserve"> to return </w:t>
      </w:r>
      <w:proofErr w:type="spellStart"/>
      <w:r w:rsidRPr="002C1BA2">
        <w:rPr>
          <w:rFonts w:ascii="Book Antiqua" w:hAnsi="Book Antiqua"/>
          <w:b/>
          <w:bCs/>
          <w:color w:val="000000" w:themeColor="text1"/>
          <w:sz w:val="24"/>
          <w:szCs w:val="24"/>
        </w:rPr>
        <w:t>Musyarakah</w:t>
      </w:r>
      <w:proofErr w:type="spellEnd"/>
      <w:r w:rsidRPr="002C1BA2">
        <w:rPr>
          <w:rFonts w:ascii="Book Antiqua" w:hAnsi="Book Antiqua"/>
          <w:b/>
          <w:bCs/>
          <w:color w:val="000000" w:themeColor="text1"/>
          <w:sz w:val="24"/>
          <w:szCs w:val="24"/>
        </w:rPr>
        <w:t xml:space="preserve"> financing are the </w:t>
      </w:r>
      <w:r w:rsidRPr="002C1BA2">
        <w:rPr>
          <w:rFonts w:ascii="Book Antiqua" w:hAnsi="Book Antiqua"/>
          <w:b/>
          <w:bCs/>
          <w:color w:val="000000" w:themeColor="text1"/>
          <w:sz w:val="24"/>
          <w:szCs w:val="24"/>
        </w:rPr>
        <w:lastRenderedPageBreak/>
        <w:t xml:space="preserve">responsibility of Bank </w:t>
      </w:r>
      <w:proofErr w:type="spellStart"/>
      <w:r w:rsidRPr="002C1BA2">
        <w:rPr>
          <w:rFonts w:ascii="Book Antiqua" w:hAnsi="Book Antiqua"/>
          <w:b/>
          <w:bCs/>
          <w:color w:val="000000" w:themeColor="text1"/>
          <w:sz w:val="24"/>
          <w:szCs w:val="24"/>
        </w:rPr>
        <w:t>Sumut</w:t>
      </w:r>
      <w:proofErr w:type="spellEnd"/>
      <w:r w:rsidRPr="002C1BA2">
        <w:rPr>
          <w:rFonts w:ascii="Book Antiqua" w:hAnsi="Book Antiqua"/>
          <w:b/>
          <w:bCs/>
          <w:color w:val="000000" w:themeColor="text1"/>
          <w:sz w:val="24"/>
          <w:szCs w:val="24"/>
        </w:rPr>
        <w:t xml:space="preserve"> </w:t>
      </w:r>
      <w:proofErr w:type="spellStart"/>
      <w:r w:rsidRPr="002C1BA2">
        <w:rPr>
          <w:rFonts w:ascii="Book Antiqua" w:hAnsi="Book Antiqua"/>
          <w:b/>
          <w:bCs/>
          <w:color w:val="000000" w:themeColor="text1"/>
          <w:sz w:val="24"/>
          <w:szCs w:val="24"/>
        </w:rPr>
        <w:t>Syari'ah</w:t>
      </w:r>
      <w:proofErr w:type="spellEnd"/>
      <w:r w:rsidRPr="002C1BA2">
        <w:rPr>
          <w:rFonts w:ascii="Book Antiqua" w:hAnsi="Book Antiqua"/>
          <w:b/>
          <w:bCs/>
          <w:color w:val="000000" w:themeColor="text1"/>
          <w:sz w:val="24"/>
          <w:szCs w:val="24"/>
        </w:rPr>
        <w:t xml:space="preserve"> (Defendant I)</w:t>
      </w:r>
      <w:r w:rsidRPr="002C1BA2">
        <w:rPr>
          <w:rFonts w:ascii="Book Antiqua" w:hAnsi="Book Antiqua"/>
          <w:color w:val="000000" w:themeColor="text1"/>
          <w:sz w:val="24"/>
          <w:szCs w:val="24"/>
        </w:rPr>
        <w:t xml:space="preserve"> and the Plaintiffs must be released from the obligation to pay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of </w:t>
      </w:r>
      <w:proofErr w:type="spellStart"/>
      <w:r w:rsidRPr="002C1BA2">
        <w:rPr>
          <w:rFonts w:ascii="Book Antiqua" w:hAnsi="Book Antiqua"/>
          <w:color w:val="000000" w:themeColor="text1"/>
          <w:sz w:val="24"/>
          <w:szCs w:val="24"/>
        </w:rPr>
        <w:t>Ongku</w:t>
      </w:r>
      <w:proofErr w:type="spellEnd"/>
      <w:r w:rsidRPr="002C1BA2">
        <w:rPr>
          <w:rFonts w:ascii="Book Antiqua" w:hAnsi="Book Antiqua"/>
          <w:color w:val="000000" w:themeColor="text1"/>
          <w:sz w:val="24"/>
          <w:szCs w:val="24"/>
        </w:rPr>
        <w:t xml:space="preserve"> Sutan </w:t>
      </w:r>
      <w:proofErr w:type="spellStart"/>
      <w:r w:rsidRPr="002C1BA2">
        <w:rPr>
          <w:rFonts w:ascii="Book Antiqua" w:hAnsi="Book Antiqua"/>
          <w:color w:val="000000" w:themeColor="text1"/>
          <w:sz w:val="24"/>
          <w:szCs w:val="24"/>
        </w:rPr>
        <w:t>Harahap</w:t>
      </w:r>
      <w:proofErr w:type="spellEnd"/>
      <w:r w:rsidRPr="002C1BA2">
        <w:rPr>
          <w:rFonts w:ascii="Book Antiqua" w:hAnsi="Book Antiqua"/>
          <w:color w:val="000000" w:themeColor="text1"/>
          <w:sz w:val="24"/>
          <w:szCs w:val="24"/>
        </w:rPr>
        <w:t xml:space="preserve">, while PT </w:t>
      </w:r>
      <w:proofErr w:type="spellStart"/>
      <w:r w:rsidRPr="002C1BA2">
        <w:rPr>
          <w:rFonts w:ascii="Book Antiqua" w:hAnsi="Book Antiqua"/>
          <w:color w:val="000000" w:themeColor="text1"/>
          <w:sz w:val="24"/>
          <w:szCs w:val="24"/>
        </w:rPr>
        <w:t>Asuransi</w:t>
      </w:r>
      <w:proofErr w:type="spellEnd"/>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Askrida</w:t>
      </w:r>
      <w:proofErr w:type="spellEnd"/>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Syari'ah</w:t>
      </w:r>
      <w:proofErr w:type="spellEnd"/>
      <w:r w:rsidRPr="002C1BA2">
        <w:rPr>
          <w:rFonts w:ascii="Book Antiqua" w:hAnsi="Book Antiqua"/>
          <w:color w:val="000000" w:themeColor="text1"/>
          <w:sz w:val="24"/>
          <w:szCs w:val="24"/>
        </w:rPr>
        <w:t xml:space="preserve">, considering that PT </w:t>
      </w:r>
      <w:proofErr w:type="spellStart"/>
      <w:r w:rsidRPr="002C1BA2">
        <w:rPr>
          <w:rFonts w:ascii="Book Antiqua" w:hAnsi="Book Antiqua"/>
          <w:color w:val="000000" w:themeColor="text1"/>
          <w:sz w:val="24"/>
          <w:szCs w:val="24"/>
        </w:rPr>
        <w:t>Asuransi</w:t>
      </w:r>
      <w:proofErr w:type="spellEnd"/>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Askrida</w:t>
      </w:r>
      <w:proofErr w:type="spellEnd"/>
      <w:r w:rsidRPr="002C1BA2">
        <w:rPr>
          <w:rFonts w:ascii="Book Antiqua" w:hAnsi="Book Antiqua"/>
          <w:color w:val="000000" w:themeColor="text1"/>
          <w:sz w:val="24"/>
          <w:szCs w:val="24"/>
        </w:rPr>
        <w:t xml:space="preserve"> </w:t>
      </w:r>
      <w:proofErr w:type="spellStart"/>
      <w:r w:rsidRPr="002C1BA2">
        <w:rPr>
          <w:rFonts w:ascii="Book Antiqua" w:hAnsi="Book Antiqua"/>
          <w:color w:val="000000" w:themeColor="text1"/>
          <w:sz w:val="24"/>
          <w:szCs w:val="24"/>
        </w:rPr>
        <w:t>Syari'ah</w:t>
      </w:r>
      <w:proofErr w:type="spellEnd"/>
      <w:r w:rsidRPr="002C1BA2">
        <w:rPr>
          <w:rFonts w:ascii="Book Antiqua" w:hAnsi="Book Antiqua"/>
          <w:color w:val="000000" w:themeColor="text1"/>
          <w:sz w:val="24"/>
          <w:szCs w:val="24"/>
        </w:rPr>
        <w:t xml:space="preserve"> has never issued an insurance policy in the name of </w:t>
      </w:r>
      <w:proofErr w:type="spellStart"/>
      <w:r w:rsidRPr="002C1BA2">
        <w:rPr>
          <w:rFonts w:ascii="Book Antiqua" w:hAnsi="Book Antiqua"/>
          <w:color w:val="000000" w:themeColor="text1"/>
          <w:sz w:val="24"/>
          <w:szCs w:val="24"/>
        </w:rPr>
        <w:t>Ongku</w:t>
      </w:r>
      <w:proofErr w:type="spellEnd"/>
      <w:r w:rsidRPr="002C1BA2">
        <w:rPr>
          <w:rFonts w:ascii="Book Antiqua" w:hAnsi="Book Antiqua"/>
          <w:color w:val="000000" w:themeColor="text1"/>
          <w:sz w:val="24"/>
          <w:szCs w:val="24"/>
        </w:rPr>
        <w:t xml:space="preserve"> Sutan </w:t>
      </w:r>
      <w:proofErr w:type="spellStart"/>
      <w:r w:rsidRPr="002C1BA2">
        <w:rPr>
          <w:rFonts w:ascii="Book Antiqua" w:hAnsi="Book Antiqua"/>
          <w:color w:val="000000" w:themeColor="text1"/>
          <w:sz w:val="24"/>
          <w:szCs w:val="24"/>
        </w:rPr>
        <w:t>Harahap</w:t>
      </w:r>
      <w:proofErr w:type="spellEnd"/>
      <w:r w:rsidRPr="002C1BA2">
        <w:rPr>
          <w:rFonts w:ascii="Book Antiqua" w:hAnsi="Book Antiqua"/>
          <w:color w:val="000000" w:themeColor="text1"/>
          <w:sz w:val="24"/>
          <w:szCs w:val="24"/>
        </w:rPr>
        <w:t xml:space="preserve">, it must be freed from all burdens and responsibilities due to insurance claims." </w:t>
      </w:r>
      <w:r w:rsidRPr="002C1BA2">
        <w:rPr>
          <w:rFonts w:ascii="Book Antiqua" w:hAnsi="Book Antiqua"/>
          <w:color w:val="000000" w:themeColor="text1"/>
          <w:sz w:val="24"/>
          <w:szCs w:val="24"/>
        </w:rPr>
        <w:fldChar w:fldCharType="begin" w:fldLock="1"/>
      </w:r>
      <w:r w:rsidRPr="002C1BA2">
        <w:rPr>
          <w:rFonts w:ascii="Book Antiqua" w:hAnsi="Book Antiqua"/>
          <w:color w:val="000000" w:themeColor="text1"/>
          <w:sz w:val="24"/>
          <w:szCs w:val="24"/>
        </w:rPr>
        <w:instrText>ADDIN CSL_CITATION {"citationItems":[{"id":"ITEM-1","itemData":{"id":"ITEM-1","issued":{"date-parts":[["0"]]},"title":"Putusan PTA Medan Nomor 68/Pdt.G/2016/PTA.Mdn halaman 8","type":"article-journal"},"uris":["http://www.mendeley.com/documents/?uuid=48768403-e433-4c3c-a386-468fa557f23e"]}],"mendeley":{"formattedCitation":"(&lt;i&gt;Putusan PTA Medan Nomor 68/Pdt.G/2016/PTA.Mdn Halaman 8&lt;/i&gt;, n.d.)","plainTextFormattedCitation":"(Putusan PTA Medan Nomor 68/Pdt.G/2016/PTA.Mdn Halaman 8, n.d.)","previouslyFormattedCitation":"(&lt;i&gt;Putusan PTA Medan Nomor 68/Pdt.G/2016/PTA.Mdn Halaman 8&lt;/i&gt;, n.d.)"},"properties":{"noteIndex":0},"schema":"https://github.com/citation-style-language/schema/raw/master/csl-citation.json"}</w:instrText>
      </w:r>
      <w:r w:rsidRPr="002C1BA2">
        <w:rPr>
          <w:rFonts w:ascii="Book Antiqua" w:hAnsi="Book Antiqua"/>
          <w:color w:val="000000" w:themeColor="text1"/>
          <w:sz w:val="24"/>
          <w:szCs w:val="24"/>
        </w:rPr>
        <w:fldChar w:fldCharType="separate"/>
      </w:r>
      <w:r w:rsidRPr="002C1BA2">
        <w:rPr>
          <w:rFonts w:ascii="Book Antiqua" w:hAnsi="Book Antiqua"/>
          <w:color w:val="000000" w:themeColor="text1"/>
          <w:sz w:val="24"/>
          <w:szCs w:val="24"/>
        </w:rPr>
        <w:t xml:space="preserve"> (Medan PTA Decision Number 68/</w:t>
      </w:r>
      <w:proofErr w:type="spellStart"/>
      <w:r w:rsidRPr="002C1BA2">
        <w:rPr>
          <w:rFonts w:ascii="Book Antiqua" w:hAnsi="Book Antiqua"/>
          <w:color w:val="000000" w:themeColor="text1"/>
          <w:sz w:val="24"/>
          <w:szCs w:val="24"/>
        </w:rPr>
        <w:t>Pdt.G</w:t>
      </w:r>
      <w:proofErr w:type="spellEnd"/>
      <w:r w:rsidRPr="002C1BA2">
        <w:rPr>
          <w:rFonts w:ascii="Book Antiqua" w:hAnsi="Book Antiqua"/>
          <w:color w:val="000000" w:themeColor="text1"/>
          <w:sz w:val="24"/>
          <w:szCs w:val="24"/>
        </w:rPr>
        <w:t>/2016/</w:t>
      </w:r>
      <w:proofErr w:type="spellStart"/>
      <w:r w:rsidRPr="002C1BA2">
        <w:rPr>
          <w:rFonts w:ascii="Book Antiqua" w:hAnsi="Book Antiqua"/>
          <w:color w:val="000000" w:themeColor="text1"/>
          <w:sz w:val="24"/>
          <w:szCs w:val="24"/>
        </w:rPr>
        <w:t>PTA.Mdn</w:t>
      </w:r>
      <w:proofErr w:type="spellEnd"/>
      <w:r w:rsidRPr="002C1BA2">
        <w:rPr>
          <w:rFonts w:ascii="Book Antiqua" w:hAnsi="Book Antiqua"/>
          <w:color w:val="000000" w:themeColor="text1"/>
          <w:sz w:val="24"/>
          <w:szCs w:val="24"/>
        </w:rPr>
        <w:t xml:space="preserve"> Page 8, n.d</w:t>
      </w:r>
      <w:r w:rsidRPr="002C1BA2">
        <w:rPr>
          <w:rFonts w:ascii="Book Antiqua" w:hAnsi="Book Antiqua"/>
          <w:noProof/>
          <w:color w:val="000000" w:themeColor="text1"/>
          <w:sz w:val="24"/>
          <w:szCs w:val="24"/>
        </w:rPr>
        <w:t>.)</w:t>
      </w:r>
      <w:r w:rsidRPr="002C1BA2">
        <w:rPr>
          <w:rFonts w:ascii="Book Antiqua" w:hAnsi="Book Antiqua"/>
          <w:color w:val="000000" w:themeColor="text1"/>
          <w:sz w:val="24"/>
          <w:szCs w:val="24"/>
        </w:rPr>
        <w:fldChar w:fldCharType="end"/>
      </w:r>
    </w:p>
    <w:p w14:paraId="51A5D719" w14:textId="77777777" w:rsidR="002C1BA2" w:rsidRPr="002C1BA2" w:rsidRDefault="002C1BA2" w:rsidP="002C1BA2">
      <w:pPr>
        <w:spacing w:before="120"/>
        <w:ind w:firstLine="720"/>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The first-level assembly is of the opinion that with the death of the customer, Mr. OSH, the heirs of the customer do not need to pay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installments because when the customer dies, the debt will be repaid by insurance. However, because at the time of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contract, the bank continued to disburse the financing before Mr. OSH did a medical check-up, resulting in the insurance party not wanting to cover the debt of Mr. OSH after his death, the judge saw that the bank had made a deliberate mistake, resulting in a loss to the customer, because the customer still pays the insurance fee at the time of disbursement of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On the basis of the intentional error on the part of the sharia bank, the Panel of Judges at the first instance freed the customer's heirs to pay off the remaining installments, and ordered the sharia bank to return the customer's collateral to his heirs.</w:t>
      </w:r>
    </w:p>
    <w:p w14:paraId="6239BE2F" w14:textId="77777777" w:rsidR="002C1BA2" w:rsidRPr="002C1BA2" w:rsidRDefault="002C1BA2" w:rsidP="002C1BA2">
      <w:pPr>
        <w:ind w:firstLine="720"/>
        <w:jc w:val="both"/>
        <w:rPr>
          <w:rFonts w:ascii="Book Antiqua" w:hAnsi="Book Antiqua"/>
          <w:color w:val="000000" w:themeColor="text1"/>
          <w:sz w:val="24"/>
          <w:szCs w:val="24"/>
        </w:rPr>
      </w:pPr>
      <w:r w:rsidRPr="002C1BA2">
        <w:rPr>
          <w:rFonts w:ascii="Book Antiqua" w:hAnsi="Book Antiqua"/>
          <w:color w:val="000000" w:themeColor="text1"/>
          <w:sz w:val="24"/>
          <w:szCs w:val="24"/>
        </w:rPr>
        <w:t>As for the decision at the appellate level, among the descriptions of its legal considerations, the Court at the appellate level stated as follows:</w:t>
      </w:r>
    </w:p>
    <w:p w14:paraId="5C4204B0" w14:textId="77777777" w:rsidR="002C1BA2" w:rsidRPr="002C1BA2" w:rsidRDefault="002C1BA2" w:rsidP="002C1BA2">
      <w:pPr>
        <w:ind w:left="709" w:right="571"/>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“Considering that the main issue in this case is the issue of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contract No. 120/KCSY02-APP/MSY/2011 dated 26 April 2011, wherein </w:t>
      </w:r>
      <w:proofErr w:type="spellStart"/>
      <w:r w:rsidRPr="002C1BA2">
        <w:rPr>
          <w:rFonts w:ascii="Book Antiqua" w:hAnsi="Book Antiqua"/>
          <w:color w:val="000000" w:themeColor="text1"/>
          <w:sz w:val="24"/>
          <w:szCs w:val="24"/>
        </w:rPr>
        <w:t>Ongku</w:t>
      </w:r>
      <w:proofErr w:type="spellEnd"/>
      <w:r w:rsidRPr="002C1BA2">
        <w:rPr>
          <w:rFonts w:ascii="Book Antiqua" w:hAnsi="Book Antiqua"/>
          <w:color w:val="000000" w:themeColor="text1"/>
          <w:sz w:val="24"/>
          <w:szCs w:val="24"/>
        </w:rPr>
        <w:t xml:space="preserve"> Sutan </w:t>
      </w:r>
      <w:proofErr w:type="spellStart"/>
      <w:r w:rsidRPr="002C1BA2">
        <w:rPr>
          <w:rFonts w:ascii="Book Antiqua" w:hAnsi="Book Antiqua"/>
          <w:color w:val="000000" w:themeColor="text1"/>
          <w:sz w:val="24"/>
          <w:szCs w:val="24"/>
        </w:rPr>
        <w:t>Harahap</w:t>
      </w:r>
      <w:proofErr w:type="spellEnd"/>
      <w:r w:rsidRPr="002C1BA2">
        <w:rPr>
          <w:rFonts w:ascii="Book Antiqua" w:hAnsi="Book Antiqua"/>
          <w:color w:val="000000" w:themeColor="text1"/>
          <w:sz w:val="24"/>
          <w:szCs w:val="24"/>
        </w:rPr>
        <w:t xml:space="preserve"> has enjoyed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of Rp. 700,000,000 (Seven hundred million rupiah), there are no things that violate the principles of the contract, the terms of the pillars of the contract or things that cancel the contract as specified in the Compilation of Sharia Economic Law (articles 21 to 26). Therefore,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contract cannot be cancelled. Thus, the heirs are obliged to pay the debt of the late </w:t>
      </w:r>
      <w:proofErr w:type="spellStart"/>
      <w:r w:rsidRPr="002C1BA2">
        <w:rPr>
          <w:rFonts w:ascii="Book Antiqua" w:hAnsi="Book Antiqua"/>
          <w:color w:val="000000" w:themeColor="text1"/>
          <w:sz w:val="24"/>
          <w:szCs w:val="24"/>
        </w:rPr>
        <w:t>Ongku</w:t>
      </w:r>
      <w:proofErr w:type="spellEnd"/>
      <w:r w:rsidRPr="002C1BA2">
        <w:rPr>
          <w:rFonts w:ascii="Book Antiqua" w:hAnsi="Book Antiqua"/>
          <w:color w:val="000000" w:themeColor="text1"/>
          <w:sz w:val="24"/>
          <w:szCs w:val="24"/>
        </w:rPr>
        <w:t xml:space="preserve"> Sutan </w:t>
      </w:r>
      <w:proofErr w:type="spellStart"/>
      <w:r w:rsidRPr="002C1BA2">
        <w:rPr>
          <w:rFonts w:ascii="Book Antiqua" w:hAnsi="Book Antiqua"/>
          <w:color w:val="000000" w:themeColor="text1"/>
          <w:sz w:val="24"/>
          <w:szCs w:val="24"/>
        </w:rPr>
        <w:t>Harahap</w:t>
      </w:r>
      <w:proofErr w:type="spellEnd"/>
      <w:r w:rsidRPr="002C1BA2">
        <w:rPr>
          <w:rFonts w:ascii="Book Antiqua" w:hAnsi="Book Antiqua"/>
          <w:color w:val="000000" w:themeColor="text1"/>
          <w:sz w:val="24"/>
          <w:szCs w:val="24"/>
        </w:rPr>
        <w:t xml:space="preserve"> to Defendant I (Bank </w:t>
      </w:r>
      <w:proofErr w:type="spellStart"/>
      <w:r w:rsidRPr="002C1BA2">
        <w:rPr>
          <w:rFonts w:ascii="Book Antiqua" w:hAnsi="Book Antiqua"/>
          <w:color w:val="000000" w:themeColor="text1"/>
          <w:sz w:val="24"/>
          <w:szCs w:val="24"/>
        </w:rPr>
        <w:t>Sumut</w:t>
      </w:r>
      <w:proofErr w:type="spellEnd"/>
      <w:r w:rsidRPr="002C1BA2">
        <w:rPr>
          <w:rFonts w:ascii="Book Antiqua" w:hAnsi="Book Antiqua"/>
          <w:color w:val="000000" w:themeColor="text1"/>
          <w:sz w:val="24"/>
          <w:szCs w:val="24"/>
        </w:rPr>
        <w:t xml:space="preserve"> Syariah </w:t>
      </w:r>
      <w:proofErr w:type="spellStart"/>
      <w:r w:rsidRPr="002C1BA2">
        <w:rPr>
          <w:rFonts w:ascii="Book Antiqua" w:hAnsi="Book Antiqua"/>
          <w:color w:val="000000" w:themeColor="text1"/>
          <w:sz w:val="24"/>
          <w:szCs w:val="24"/>
        </w:rPr>
        <w:t>Padangsidimpuan</w:t>
      </w:r>
      <w:proofErr w:type="spellEnd"/>
      <w:r w:rsidRPr="002C1BA2">
        <w:rPr>
          <w:rFonts w:ascii="Book Antiqua" w:hAnsi="Book Antiqua"/>
          <w:color w:val="000000" w:themeColor="text1"/>
          <w:sz w:val="24"/>
          <w:szCs w:val="24"/>
        </w:rPr>
        <w:t xml:space="preserve"> Branch). Considering, that based on the considerations above, the Panel of Judges at the appellate level can conclude that the disbursement of funds based on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agreement is not contradictory, even without a life insurance policy from the customer </w:t>
      </w:r>
      <w:proofErr w:type="spellStart"/>
      <w:r w:rsidRPr="002C1BA2">
        <w:rPr>
          <w:rFonts w:ascii="Book Antiqua" w:hAnsi="Book Antiqua"/>
          <w:color w:val="000000" w:themeColor="text1"/>
          <w:sz w:val="24"/>
          <w:szCs w:val="24"/>
        </w:rPr>
        <w:t>Ongku</w:t>
      </w:r>
      <w:proofErr w:type="spellEnd"/>
      <w:r w:rsidRPr="002C1BA2">
        <w:rPr>
          <w:rFonts w:ascii="Book Antiqua" w:hAnsi="Book Antiqua"/>
          <w:color w:val="000000" w:themeColor="text1"/>
          <w:sz w:val="24"/>
          <w:szCs w:val="24"/>
        </w:rPr>
        <w:t xml:space="preserve"> Sutan </w:t>
      </w:r>
      <w:proofErr w:type="spellStart"/>
      <w:r w:rsidRPr="002C1BA2">
        <w:rPr>
          <w:rFonts w:ascii="Book Antiqua" w:hAnsi="Book Antiqua"/>
          <w:color w:val="000000" w:themeColor="text1"/>
          <w:sz w:val="24"/>
          <w:szCs w:val="24"/>
        </w:rPr>
        <w:t>Harahap</w:t>
      </w:r>
      <w:proofErr w:type="spellEnd"/>
      <w:r w:rsidRPr="002C1BA2">
        <w:rPr>
          <w:rFonts w:ascii="Book Antiqua" w:hAnsi="Book Antiqua"/>
          <w:color w:val="000000" w:themeColor="text1"/>
          <w:sz w:val="24"/>
          <w:szCs w:val="24"/>
        </w:rPr>
        <w:t xml:space="preserve"> and therefore insurance is not a requirement for the Defendant (Bank </w:t>
      </w:r>
      <w:proofErr w:type="spellStart"/>
      <w:r w:rsidRPr="002C1BA2">
        <w:rPr>
          <w:rFonts w:ascii="Book Antiqua" w:hAnsi="Book Antiqua"/>
          <w:color w:val="000000" w:themeColor="text1"/>
          <w:sz w:val="24"/>
          <w:szCs w:val="24"/>
        </w:rPr>
        <w:t>Sumut</w:t>
      </w:r>
      <w:proofErr w:type="spellEnd"/>
      <w:r w:rsidRPr="002C1BA2">
        <w:rPr>
          <w:rFonts w:ascii="Book Antiqua" w:hAnsi="Book Antiqua"/>
          <w:color w:val="000000" w:themeColor="text1"/>
          <w:sz w:val="24"/>
          <w:szCs w:val="24"/>
        </w:rPr>
        <w:t xml:space="preserve"> Syariah </w:t>
      </w:r>
      <w:proofErr w:type="spellStart"/>
      <w:r w:rsidRPr="002C1BA2">
        <w:rPr>
          <w:rFonts w:ascii="Book Antiqua" w:hAnsi="Book Antiqua"/>
          <w:color w:val="000000" w:themeColor="text1"/>
          <w:sz w:val="24"/>
          <w:szCs w:val="24"/>
        </w:rPr>
        <w:t>Padangsidimpuan</w:t>
      </w:r>
      <w:proofErr w:type="spellEnd"/>
      <w:r w:rsidRPr="002C1BA2">
        <w:rPr>
          <w:rFonts w:ascii="Book Antiqua" w:hAnsi="Book Antiqua"/>
          <w:color w:val="000000" w:themeColor="text1"/>
          <w:sz w:val="24"/>
          <w:szCs w:val="24"/>
        </w:rPr>
        <w:t xml:space="preserve"> branch) to disburse the agreed funds.”  </w:t>
      </w:r>
      <w:r w:rsidRPr="002C1BA2">
        <w:rPr>
          <w:rFonts w:ascii="Book Antiqua" w:hAnsi="Book Antiqua"/>
          <w:color w:val="000000" w:themeColor="text1"/>
          <w:sz w:val="24"/>
          <w:szCs w:val="24"/>
        </w:rPr>
        <w:fldChar w:fldCharType="begin" w:fldLock="1"/>
      </w:r>
      <w:r w:rsidRPr="002C1BA2">
        <w:rPr>
          <w:rFonts w:ascii="Book Antiqua" w:hAnsi="Book Antiqua"/>
          <w:color w:val="000000" w:themeColor="text1"/>
          <w:sz w:val="24"/>
          <w:szCs w:val="24"/>
        </w:rPr>
        <w:instrText>ADDIN CSL_CITATION {"citationItems":[{"id":"ITEM-1","itemData":{"id":"ITEM-1","issued":{"date-parts":[["0"]]},"title":"Putusan PTA Medan Nomor 68/Pdt.G/2016/PTA.Mdn halaman 8","type":"article-journal"},"uris":["http://www.mendeley.com/documents/?uuid=48768403-e433-4c3c-a386-468fa557f23e"]}],"mendeley":{"formattedCitation":"(&lt;i&gt;Putusan PTA Medan Nomor 68/Pdt.G/2016/PTA.Mdn Halaman 8&lt;/i&gt;, n.d.)","plainTextFormattedCitation":"(Putusan PTA Medan Nomor 68/Pdt.G/2016/PTA.Mdn Halaman 8, n.d.)","previouslyFormattedCitation":"(&lt;i&gt;Putusan PTA Medan Nomor 68/Pdt.G/2016/PTA.Mdn Halaman 8&lt;/i&gt;, n.d.)"},"properties":{"noteIndex":0},"schema":"https://github.com/citation-style-language/schema/raw/master/csl-citation.json"}</w:instrText>
      </w:r>
      <w:r w:rsidRPr="002C1BA2">
        <w:rPr>
          <w:rFonts w:ascii="Book Antiqua" w:hAnsi="Book Antiqua"/>
          <w:color w:val="000000" w:themeColor="text1"/>
          <w:sz w:val="24"/>
          <w:szCs w:val="24"/>
        </w:rPr>
        <w:fldChar w:fldCharType="separate"/>
      </w:r>
      <w:r w:rsidRPr="002C1BA2">
        <w:rPr>
          <w:rFonts w:ascii="Book Antiqua" w:hAnsi="Book Antiqua"/>
          <w:color w:val="000000" w:themeColor="text1"/>
          <w:sz w:val="24"/>
          <w:szCs w:val="24"/>
        </w:rPr>
        <w:t xml:space="preserve"> (Medan PTA Decision Number 68/</w:t>
      </w:r>
      <w:proofErr w:type="spellStart"/>
      <w:r w:rsidRPr="002C1BA2">
        <w:rPr>
          <w:rFonts w:ascii="Book Antiqua" w:hAnsi="Book Antiqua"/>
          <w:color w:val="000000" w:themeColor="text1"/>
          <w:sz w:val="24"/>
          <w:szCs w:val="24"/>
        </w:rPr>
        <w:t>Pdt.G</w:t>
      </w:r>
      <w:proofErr w:type="spellEnd"/>
      <w:r w:rsidRPr="002C1BA2">
        <w:rPr>
          <w:rFonts w:ascii="Book Antiqua" w:hAnsi="Book Antiqua"/>
          <w:color w:val="000000" w:themeColor="text1"/>
          <w:sz w:val="24"/>
          <w:szCs w:val="24"/>
        </w:rPr>
        <w:t>/2016/</w:t>
      </w:r>
      <w:proofErr w:type="spellStart"/>
      <w:r w:rsidRPr="002C1BA2">
        <w:rPr>
          <w:rFonts w:ascii="Book Antiqua" w:hAnsi="Book Antiqua"/>
          <w:color w:val="000000" w:themeColor="text1"/>
          <w:sz w:val="24"/>
          <w:szCs w:val="24"/>
        </w:rPr>
        <w:t>PTA.Mdn</w:t>
      </w:r>
      <w:proofErr w:type="spellEnd"/>
      <w:r w:rsidRPr="002C1BA2">
        <w:rPr>
          <w:rFonts w:ascii="Book Antiqua" w:hAnsi="Book Antiqua"/>
          <w:color w:val="000000" w:themeColor="text1"/>
          <w:sz w:val="24"/>
          <w:szCs w:val="24"/>
        </w:rPr>
        <w:t xml:space="preserve"> Page 8, n.d</w:t>
      </w:r>
      <w:r w:rsidRPr="002C1BA2">
        <w:rPr>
          <w:rFonts w:ascii="Book Antiqua" w:hAnsi="Book Antiqua"/>
          <w:noProof/>
          <w:color w:val="000000" w:themeColor="text1"/>
          <w:sz w:val="24"/>
          <w:szCs w:val="24"/>
        </w:rPr>
        <w:t>.)</w:t>
      </w:r>
      <w:r w:rsidRPr="002C1BA2">
        <w:rPr>
          <w:rFonts w:ascii="Book Antiqua" w:hAnsi="Book Antiqua"/>
          <w:color w:val="000000" w:themeColor="text1"/>
          <w:sz w:val="24"/>
          <w:szCs w:val="24"/>
        </w:rPr>
        <w:fldChar w:fldCharType="end"/>
      </w:r>
    </w:p>
    <w:p w14:paraId="6BBAB830" w14:textId="77777777" w:rsidR="002C1BA2" w:rsidRPr="002C1BA2" w:rsidRDefault="002C1BA2" w:rsidP="002C1BA2">
      <w:pPr>
        <w:spacing w:before="120"/>
        <w:ind w:firstLine="720"/>
        <w:jc w:val="both"/>
        <w:rPr>
          <w:rFonts w:ascii="Book Antiqua" w:hAnsi="Book Antiqua"/>
          <w:color w:val="000000" w:themeColor="text1"/>
          <w:sz w:val="24"/>
          <w:szCs w:val="24"/>
        </w:rPr>
      </w:pPr>
      <w:r w:rsidRPr="002C1BA2">
        <w:rPr>
          <w:rFonts w:ascii="Book Antiqua" w:hAnsi="Book Antiqua"/>
          <w:color w:val="000000" w:themeColor="text1"/>
          <w:sz w:val="24"/>
          <w:szCs w:val="24"/>
        </w:rPr>
        <w:lastRenderedPageBreak/>
        <w:t xml:space="preserve">From the description above, it appears that the Appeals Council saw that the disbursement of funds based on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agreement did not conflict with the terms and conditions of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even without a life insurance policy from the customer </w:t>
      </w:r>
      <w:proofErr w:type="spellStart"/>
      <w:r w:rsidRPr="002C1BA2">
        <w:rPr>
          <w:rFonts w:ascii="Book Antiqua" w:hAnsi="Book Antiqua"/>
          <w:color w:val="000000" w:themeColor="text1"/>
          <w:sz w:val="24"/>
          <w:szCs w:val="24"/>
        </w:rPr>
        <w:t>Ongku</w:t>
      </w:r>
      <w:proofErr w:type="spellEnd"/>
      <w:r w:rsidRPr="002C1BA2">
        <w:rPr>
          <w:rFonts w:ascii="Book Antiqua" w:hAnsi="Book Antiqua"/>
          <w:color w:val="000000" w:themeColor="text1"/>
          <w:sz w:val="24"/>
          <w:szCs w:val="24"/>
        </w:rPr>
        <w:t xml:space="preserve"> Sutan </w:t>
      </w:r>
      <w:proofErr w:type="spellStart"/>
      <w:r w:rsidRPr="002C1BA2">
        <w:rPr>
          <w:rFonts w:ascii="Book Antiqua" w:hAnsi="Book Antiqua"/>
          <w:color w:val="000000" w:themeColor="text1"/>
          <w:sz w:val="24"/>
          <w:szCs w:val="24"/>
        </w:rPr>
        <w:t>Harahap</w:t>
      </w:r>
      <w:proofErr w:type="spellEnd"/>
      <w:r w:rsidRPr="002C1BA2">
        <w:rPr>
          <w:rFonts w:ascii="Book Antiqua" w:hAnsi="Book Antiqua"/>
          <w:color w:val="000000" w:themeColor="text1"/>
          <w:sz w:val="24"/>
          <w:szCs w:val="24"/>
        </w:rPr>
        <w:t xml:space="preserve"> because insurance was not a requirement for the Defendant (Bank </w:t>
      </w:r>
      <w:proofErr w:type="spellStart"/>
      <w:r w:rsidRPr="002C1BA2">
        <w:rPr>
          <w:rFonts w:ascii="Book Antiqua" w:hAnsi="Book Antiqua"/>
          <w:color w:val="000000" w:themeColor="text1"/>
          <w:sz w:val="24"/>
          <w:szCs w:val="24"/>
        </w:rPr>
        <w:t>Sumut</w:t>
      </w:r>
      <w:proofErr w:type="spellEnd"/>
      <w:r w:rsidRPr="002C1BA2">
        <w:rPr>
          <w:rFonts w:ascii="Book Antiqua" w:hAnsi="Book Antiqua"/>
          <w:color w:val="000000" w:themeColor="text1"/>
          <w:sz w:val="24"/>
          <w:szCs w:val="24"/>
        </w:rPr>
        <w:t xml:space="preserve"> Syariah </w:t>
      </w:r>
      <w:proofErr w:type="spellStart"/>
      <w:r w:rsidRPr="002C1BA2">
        <w:rPr>
          <w:rFonts w:ascii="Book Antiqua" w:hAnsi="Book Antiqua"/>
          <w:color w:val="000000" w:themeColor="text1"/>
          <w:sz w:val="24"/>
          <w:szCs w:val="24"/>
        </w:rPr>
        <w:t>Padangsidempuan</w:t>
      </w:r>
      <w:proofErr w:type="spellEnd"/>
      <w:r w:rsidRPr="002C1BA2">
        <w:rPr>
          <w:rFonts w:ascii="Book Antiqua" w:hAnsi="Book Antiqua"/>
          <w:color w:val="000000" w:themeColor="text1"/>
          <w:sz w:val="24"/>
          <w:szCs w:val="24"/>
        </w:rPr>
        <w:t xml:space="preserve"> branch) to disburse the agreed funds. Therefore, with the death of the customer, then the heirs do not pay the installments until a warning is given by the sharia bank, then the customer's heirs have been proven to be in default, and therefore the guarantee can be auctioned off by the sharia bank to cover the losses suffered by the sharia bank due to default on the part of the customer's heirs.</w:t>
      </w:r>
    </w:p>
    <w:p w14:paraId="75390AFC" w14:textId="77777777" w:rsidR="002C1BA2" w:rsidRPr="002C1BA2" w:rsidRDefault="002C1BA2" w:rsidP="002C1BA2">
      <w:pPr>
        <w:ind w:firstLine="720"/>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At the cassation level, the Assembly considered that in this case there was an element of negligence on the part of both parties (Islamic banks and customers). Negligence on the part of the sharia bank for making a statement from the customer's wife (plaintiff 1) which states that if the insurance policy has not been issued and something happens, then all financing is the responsibility of the heirs, as the reason for disbursing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before the insurance policy is issued, this is an indication (</w:t>
      </w:r>
      <w:proofErr w:type="spellStart"/>
      <w:r w:rsidRPr="002C1BA2">
        <w:rPr>
          <w:rFonts w:ascii="Book Antiqua" w:hAnsi="Book Antiqua"/>
          <w:color w:val="000000" w:themeColor="text1"/>
          <w:sz w:val="24"/>
          <w:szCs w:val="24"/>
        </w:rPr>
        <w:t>qarinah</w:t>
      </w:r>
      <w:proofErr w:type="spellEnd"/>
      <w:r w:rsidRPr="002C1BA2">
        <w:rPr>
          <w:rFonts w:ascii="Book Antiqua" w:hAnsi="Book Antiqua"/>
          <w:color w:val="000000" w:themeColor="text1"/>
          <w:sz w:val="24"/>
          <w:szCs w:val="24"/>
        </w:rPr>
        <w:t xml:space="preserve">) the lack of prudence of Islamic banks. Prior to the issuance of the insurance policy, the sharia bank should not issue a </w:t>
      </w:r>
      <w:proofErr w:type="spellStart"/>
      <w:r w:rsidRPr="002C1BA2">
        <w:rPr>
          <w:rFonts w:ascii="Book Antiqua" w:hAnsi="Book Antiqua"/>
          <w:color w:val="000000" w:themeColor="text1"/>
          <w:sz w:val="24"/>
          <w:szCs w:val="24"/>
        </w:rPr>
        <w:t>musyarokah</w:t>
      </w:r>
      <w:proofErr w:type="spellEnd"/>
      <w:r w:rsidRPr="002C1BA2">
        <w:rPr>
          <w:rFonts w:ascii="Book Antiqua" w:hAnsi="Book Antiqua"/>
          <w:color w:val="000000" w:themeColor="text1"/>
          <w:sz w:val="24"/>
          <w:szCs w:val="24"/>
        </w:rPr>
        <w:t xml:space="preserve"> contract. Even though the contract is valid without a policy, because insurance is not a requirement to withdraw the agreed funds. However, the policy is very important and urgent to ensure the security of financing in case of unwanted things in the future. In addition, these actions are not in accordance with the spirit of Islamic economics and violate economic principles that are in accordance with sharia principles. Therefore, the bank must know the consequences. Because the fact that these actions have caused loss and anxiety. Thus the Islamic bank has made negligence by letting Mr. OSH as a consumer not know the consequences that will be borne by him and his heirs in the event of a risk of death later in life, as intended by Article 21 letters (e) and (j) Compilation of Sharia Economic </w:t>
      </w:r>
      <w:proofErr w:type="gramStart"/>
      <w:r w:rsidRPr="002C1BA2">
        <w:rPr>
          <w:rFonts w:ascii="Book Antiqua" w:hAnsi="Book Antiqua"/>
          <w:color w:val="000000" w:themeColor="text1"/>
          <w:sz w:val="24"/>
          <w:szCs w:val="24"/>
        </w:rPr>
        <w:t>Law .</w:t>
      </w:r>
      <w:proofErr w:type="gramEnd"/>
      <w:r w:rsidRPr="002C1BA2">
        <w:rPr>
          <w:rFonts w:ascii="Book Antiqua" w:hAnsi="Book Antiqua"/>
          <w:color w:val="000000" w:themeColor="text1"/>
          <w:sz w:val="24"/>
          <w:szCs w:val="24"/>
        </w:rPr>
        <w:t xml:space="preserve"> With carelessness on the part of the bank, it means that the bank has ignored the prudent banking principle, where the bank in carrying out business activities both in collecting, especially in channeling funds to the public, must be very careful. The purpose of implementing this precautionary principle is so that banks always protect public funds, and banks are always in a healthy condition to carry out their business properly and comply with the provisions and legal norms that apply in the banking world, as referred to in Article 2 and Article 29 paragraph (2) Law Number 10 of 1998 concerning Banking, therefore the bank has made negligence which has resulted in an unlawful act. Meanwhile, negligence on the part of the customer for having made a statement that the heirs are willing to bear the financing debt if anything happens to the customer. Therefore, with the negligence of both parties, the loss in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must be borne proportionally between the sharia bank </w:t>
      </w:r>
      <w:r w:rsidRPr="002C1BA2">
        <w:rPr>
          <w:rFonts w:ascii="Book Antiqua" w:hAnsi="Book Antiqua"/>
          <w:color w:val="000000" w:themeColor="text1"/>
          <w:sz w:val="24"/>
          <w:szCs w:val="24"/>
        </w:rPr>
        <w:lastRenderedPageBreak/>
        <w:t>and the customer, which in this case is borne by the heirs. The following is an excerpt from the court's legal considerations at the cassation level:</w:t>
      </w:r>
    </w:p>
    <w:p w14:paraId="28676800" w14:textId="77777777" w:rsidR="002C1BA2" w:rsidRPr="002C1BA2" w:rsidRDefault="002C1BA2" w:rsidP="002C1BA2">
      <w:pPr>
        <w:ind w:firstLine="720"/>
        <w:jc w:val="both"/>
        <w:rPr>
          <w:rFonts w:ascii="Book Antiqua" w:hAnsi="Book Antiqua"/>
          <w:color w:val="000000" w:themeColor="text1"/>
          <w:sz w:val="24"/>
          <w:szCs w:val="24"/>
        </w:rPr>
      </w:pPr>
    </w:p>
    <w:p w14:paraId="220D849F" w14:textId="77777777" w:rsidR="002C1BA2" w:rsidRPr="002C1BA2" w:rsidRDefault="002C1BA2" w:rsidP="002C1BA2">
      <w:pPr>
        <w:ind w:left="709" w:right="571"/>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"Considering, that the first party (Defendant I) made a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contract on April 26, 2011 and on that date a statement was made by the second party (Plaintiff I) if the insurance policy has not been issued and something happens, then all financing is the responsibility of the heirs, only of course, with the death of the second party, it is a business risk as mentioned in Article 6, especially the first party is so easy to withdraw funds before the insurance policy is issued only with a statement which is certainly full of risks. Therefore, because this contract is a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contract, </w:t>
      </w:r>
      <w:r w:rsidRPr="002C1BA2">
        <w:rPr>
          <w:rFonts w:ascii="Book Antiqua" w:hAnsi="Book Antiqua"/>
          <w:b/>
          <w:bCs/>
          <w:color w:val="000000" w:themeColor="text1"/>
          <w:sz w:val="24"/>
          <w:szCs w:val="24"/>
        </w:rPr>
        <w:t>the risk must be borne proportionally between the Plaintiff (as the second party) and Defendant I (the first party)</w:t>
      </w:r>
      <w:r w:rsidRPr="002C1BA2">
        <w:rPr>
          <w:rFonts w:ascii="Book Antiqua" w:hAnsi="Book Antiqua"/>
          <w:color w:val="000000" w:themeColor="text1"/>
          <w:sz w:val="24"/>
          <w:szCs w:val="24"/>
        </w:rPr>
        <w:t xml:space="preserve">. Considering, that the existence of a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contract between </w:t>
      </w:r>
      <w:proofErr w:type="spellStart"/>
      <w:r w:rsidRPr="002C1BA2">
        <w:rPr>
          <w:rFonts w:ascii="Book Antiqua" w:hAnsi="Book Antiqua"/>
          <w:color w:val="000000" w:themeColor="text1"/>
          <w:sz w:val="24"/>
          <w:szCs w:val="24"/>
        </w:rPr>
        <w:t>Ongku</w:t>
      </w:r>
      <w:proofErr w:type="spellEnd"/>
      <w:r w:rsidRPr="002C1BA2">
        <w:rPr>
          <w:rFonts w:ascii="Book Antiqua" w:hAnsi="Book Antiqua"/>
          <w:color w:val="000000" w:themeColor="text1"/>
          <w:sz w:val="24"/>
          <w:szCs w:val="24"/>
        </w:rPr>
        <w:t xml:space="preserve"> Sutan </w:t>
      </w:r>
      <w:proofErr w:type="spellStart"/>
      <w:r w:rsidRPr="002C1BA2">
        <w:rPr>
          <w:rFonts w:ascii="Book Antiqua" w:hAnsi="Book Antiqua"/>
          <w:color w:val="000000" w:themeColor="text1"/>
          <w:sz w:val="24"/>
          <w:szCs w:val="24"/>
        </w:rPr>
        <w:t>Harahap</w:t>
      </w:r>
      <w:proofErr w:type="spellEnd"/>
      <w:r w:rsidRPr="002C1BA2">
        <w:rPr>
          <w:rFonts w:ascii="Book Antiqua" w:hAnsi="Book Antiqua"/>
          <w:color w:val="000000" w:themeColor="text1"/>
          <w:sz w:val="24"/>
          <w:szCs w:val="24"/>
        </w:rPr>
        <w:t xml:space="preserve"> and Defendant I </w:t>
      </w:r>
      <w:proofErr w:type="gramStart"/>
      <w:r w:rsidRPr="002C1BA2">
        <w:rPr>
          <w:rFonts w:ascii="Book Antiqua" w:hAnsi="Book Antiqua"/>
          <w:color w:val="000000" w:themeColor="text1"/>
          <w:sz w:val="24"/>
          <w:szCs w:val="24"/>
        </w:rPr>
        <w:t>has</w:t>
      </w:r>
      <w:proofErr w:type="gramEnd"/>
      <w:r w:rsidRPr="002C1BA2">
        <w:rPr>
          <w:rFonts w:ascii="Book Antiqua" w:hAnsi="Book Antiqua"/>
          <w:color w:val="000000" w:themeColor="text1"/>
          <w:sz w:val="24"/>
          <w:szCs w:val="24"/>
        </w:rPr>
        <w:t xml:space="preserve"> created a risk of loss because in the absence of life insurance that guarantees to return the principal capital of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contract received by the customer if the customer dies, is an act that can harm the heirs who should have paid an amount of Rp. 752,000,000.00 (seven hundred </w:t>
      </w:r>
      <w:proofErr w:type="gramStart"/>
      <w:r w:rsidRPr="002C1BA2">
        <w:rPr>
          <w:rFonts w:ascii="Book Antiqua" w:hAnsi="Book Antiqua"/>
          <w:color w:val="000000" w:themeColor="text1"/>
          <w:sz w:val="24"/>
          <w:szCs w:val="24"/>
        </w:rPr>
        <w:t>fifty two</w:t>
      </w:r>
      <w:proofErr w:type="gramEnd"/>
      <w:r w:rsidRPr="002C1BA2">
        <w:rPr>
          <w:rFonts w:ascii="Book Antiqua" w:hAnsi="Book Antiqua"/>
          <w:color w:val="000000" w:themeColor="text1"/>
          <w:sz w:val="24"/>
          <w:szCs w:val="24"/>
        </w:rPr>
        <w:t xml:space="preserve"> million rupiah) is borne by the insurance party but because the act of disbursing funds without an insurance policy in advance is an act that is contrary to Article 16 of the contract Number 120/KCSY02-APP/MSY/2011 and this is a loss caused by the bank's carelessness and because the contract is a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contract, the loss must be borne jointly by the parties to the contract. Since the contract is a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contract, the loss must be divided proportionally so that the capital money in the amount of Rp. 752,000,000.00 (seven hundred fifty two million rupiah) must be paid off by the Plaintiff in the amount of 53.22 (fifty three point twenty two) percent and the Defendant I is 46.78 (forty six point seventy eight) percent, according to Article 3 paragraph (2)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Agreement Number 120/KCSY02-APP/MSY/2011 dated 26 April.” </w:t>
      </w:r>
      <w:r w:rsidRPr="002C1BA2">
        <w:rPr>
          <w:rFonts w:ascii="Book Antiqua" w:hAnsi="Book Antiqua"/>
          <w:color w:val="000000" w:themeColor="text1"/>
          <w:sz w:val="24"/>
          <w:szCs w:val="24"/>
        </w:rPr>
        <w:fldChar w:fldCharType="begin" w:fldLock="1"/>
      </w:r>
      <w:r w:rsidRPr="002C1BA2">
        <w:rPr>
          <w:rFonts w:ascii="Book Antiqua" w:hAnsi="Book Antiqua"/>
          <w:color w:val="000000" w:themeColor="text1"/>
          <w:sz w:val="24"/>
          <w:szCs w:val="24"/>
        </w:rPr>
        <w:instrText>ADDIN CSL_CITATION {"citationItems":[{"id":"ITEM-1","itemData":{"id":"ITEM-1","issued":{"date-parts":[["0"]]},"title":"Putusan Kasasi Mahkamah Agung Nomor 624 K/Ag/2017 halaman 25 – 26","type":"article-journal"},"uris":["http://www.mendeley.com/documents/?uuid=e948fd16-e073-480f-ae31-6ebf7ec0ef1b"]}],"mendeley":{"formattedCitation":"(&lt;i&gt;Putusan Kasasi Mahkamah Agung Nomor 624 K/Ag/2017 Halaman 25 – 26&lt;/i&gt;, n.d.)","plainTextFormattedCitation":"(Putusan Kasasi Mahkamah Agung Nomor 624 K/Ag/2017 Halaman 25 – 26, n.d.)","previouslyFormattedCitation":"(&lt;i&gt;Putusan Kasasi Mahkamah Agung Nomor 624 K/Ag/2017 Halaman 25 – 26&lt;/i&gt;, n.d.)"},"properties":{"noteIndex":0},"schema":"https://github.com/citation-style-language/schema/raw/master/csl-citation.json"}</w:instrText>
      </w:r>
      <w:r w:rsidRPr="002C1BA2">
        <w:rPr>
          <w:rFonts w:ascii="Book Antiqua" w:hAnsi="Book Antiqua"/>
          <w:color w:val="000000" w:themeColor="text1"/>
          <w:sz w:val="24"/>
          <w:szCs w:val="24"/>
        </w:rPr>
        <w:fldChar w:fldCharType="separate"/>
      </w:r>
      <w:r w:rsidRPr="002C1BA2">
        <w:rPr>
          <w:rFonts w:ascii="Book Antiqua" w:hAnsi="Book Antiqua"/>
          <w:color w:val="000000" w:themeColor="text1"/>
          <w:sz w:val="24"/>
          <w:szCs w:val="24"/>
        </w:rPr>
        <w:t xml:space="preserve">(Supreme Court Cassation Decision Number 624 K/Ag/2017 Pages 25 – 26, </w:t>
      </w:r>
      <w:proofErr w:type="spellStart"/>
      <w:r w:rsidRPr="002C1BA2">
        <w:rPr>
          <w:rFonts w:ascii="Book Antiqua" w:hAnsi="Book Antiqua"/>
          <w:color w:val="000000" w:themeColor="text1"/>
          <w:sz w:val="24"/>
          <w:szCs w:val="24"/>
        </w:rPr>
        <w:t>n.d</w:t>
      </w:r>
      <w:proofErr w:type="spellEnd"/>
      <w:r w:rsidRPr="002C1BA2">
        <w:rPr>
          <w:rFonts w:ascii="Book Antiqua" w:hAnsi="Book Antiqua"/>
          <w:noProof/>
          <w:color w:val="000000" w:themeColor="text1"/>
          <w:sz w:val="24"/>
          <w:szCs w:val="24"/>
        </w:rPr>
        <w:t>)</w:t>
      </w:r>
      <w:r w:rsidRPr="002C1BA2">
        <w:rPr>
          <w:rFonts w:ascii="Book Antiqua" w:hAnsi="Book Antiqua"/>
          <w:color w:val="000000" w:themeColor="text1"/>
          <w:sz w:val="24"/>
          <w:szCs w:val="24"/>
        </w:rPr>
        <w:fldChar w:fldCharType="end"/>
      </w:r>
      <w:r w:rsidRPr="002C1BA2">
        <w:rPr>
          <w:rFonts w:ascii="Book Antiqua" w:hAnsi="Book Antiqua"/>
          <w:color w:val="000000" w:themeColor="text1"/>
          <w:sz w:val="24"/>
          <w:szCs w:val="24"/>
        </w:rPr>
        <w:t>.</w:t>
      </w:r>
    </w:p>
    <w:p w14:paraId="7BA57936" w14:textId="77777777" w:rsidR="002C1BA2" w:rsidRPr="002C1BA2" w:rsidRDefault="002C1BA2" w:rsidP="002C1BA2">
      <w:pPr>
        <w:spacing w:before="120"/>
        <w:ind w:firstLine="720"/>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In this case, the heirs of the customer are burdened with paying a loss on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of 53.22% of the total financing of Rp.752,000,000.00, which is Rp.400,214,400.00 (four hundred million two hundred and fourteen thousand and four hundred rupiah). Meanwhile, the sharia bank must bear a loss of 46.78% of the total financing of Rp.752,000,000.00, which is Rp.351,785,800.00 (three hundred fifty-one million seven hundred eighty-five thousand and eight hundred rupiah). Therefore, the Cassation Council ratified the auction of the </w:t>
      </w:r>
      <w:proofErr w:type="spellStart"/>
      <w:r w:rsidRPr="002C1BA2">
        <w:rPr>
          <w:rFonts w:ascii="Book Antiqua" w:hAnsi="Book Antiqua"/>
          <w:color w:val="000000" w:themeColor="text1"/>
          <w:sz w:val="24"/>
          <w:szCs w:val="24"/>
        </w:rPr>
        <w:lastRenderedPageBreak/>
        <w:t>musyarakah</w:t>
      </w:r>
      <w:proofErr w:type="spellEnd"/>
      <w:r w:rsidRPr="002C1BA2">
        <w:rPr>
          <w:rFonts w:ascii="Book Antiqua" w:hAnsi="Book Antiqua"/>
          <w:color w:val="000000" w:themeColor="text1"/>
          <w:sz w:val="24"/>
          <w:szCs w:val="24"/>
        </w:rPr>
        <w:t xml:space="preserve"> guarantee, but the Islamic bank must return the remaining auction proceeds to the customer's heirs, after all costs and obligations of the customer's family have been issued.</w:t>
      </w:r>
    </w:p>
    <w:p w14:paraId="16280854" w14:textId="77777777" w:rsidR="002C1BA2" w:rsidRPr="002C1BA2" w:rsidRDefault="002C1BA2" w:rsidP="002C1BA2">
      <w:pPr>
        <w:pStyle w:val="ListParagraph"/>
        <w:numPr>
          <w:ilvl w:val="0"/>
          <w:numId w:val="47"/>
        </w:numPr>
        <w:spacing w:after="0" w:line="240" w:lineRule="auto"/>
        <w:ind w:left="851" w:hanging="426"/>
        <w:jc w:val="both"/>
        <w:rPr>
          <w:rFonts w:ascii="Book Antiqua" w:hAnsi="Book Antiqua"/>
          <w:b/>
          <w:bCs/>
          <w:color w:val="000000" w:themeColor="text1"/>
          <w:sz w:val="24"/>
          <w:szCs w:val="24"/>
        </w:rPr>
      </w:pPr>
      <w:r w:rsidRPr="002C1BA2">
        <w:rPr>
          <w:rFonts w:ascii="Book Antiqua" w:hAnsi="Book Antiqua"/>
          <w:b/>
          <w:bCs/>
          <w:color w:val="000000" w:themeColor="text1"/>
          <w:sz w:val="24"/>
          <w:szCs w:val="24"/>
        </w:rPr>
        <w:t xml:space="preserve">Analysis of Decision on Execution of </w:t>
      </w:r>
      <w:proofErr w:type="spellStart"/>
      <w:r w:rsidRPr="002C1BA2">
        <w:rPr>
          <w:rFonts w:ascii="Book Antiqua" w:hAnsi="Book Antiqua"/>
          <w:b/>
          <w:bCs/>
          <w:color w:val="000000" w:themeColor="text1"/>
          <w:sz w:val="24"/>
          <w:szCs w:val="24"/>
        </w:rPr>
        <w:t>Musyarakah</w:t>
      </w:r>
      <w:proofErr w:type="spellEnd"/>
      <w:r w:rsidRPr="002C1BA2">
        <w:rPr>
          <w:rFonts w:ascii="Book Antiqua" w:hAnsi="Book Antiqua"/>
          <w:b/>
          <w:bCs/>
          <w:color w:val="000000" w:themeColor="text1"/>
          <w:sz w:val="24"/>
          <w:szCs w:val="24"/>
        </w:rPr>
        <w:t xml:space="preserve"> Guarantee Dispute</w:t>
      </w:r>
    </w:p>
    <w:p w14:paraId="18D42DCC" w14:textId="77777777" w:rsidR="002C1BA2" w:rsidRPr="002C1BA2" w:rsidRDefault="002C1BA2" w:rsidP="002C1BA2">
      <w:pPr>
        <w:ind w:firstLine="720"/>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In this paper, the author wants to analyze the three judges' decisions in the Religious Courts above regarding the dispute over the execution of guarantees in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The analytical theory used is the theory of law discovery and the theory of justice. The results of the analysis will show how the theory of legal discovery and the theory of justice affect the outcome of the decision.</w:t>
      </w:r>
    </w:p>
    <w:p w14:paraId="1EEDB631" w14:textId="77777777" w:rsidR="002C1BA2" w:rsidRPr="002C1BA2" w:rsidRDefault="002C1BA2" w:rsidP="002C1BA2">
      <w:pPr>
        <w:ind w:firstLine="720"/>
        <w:jc w:val="both"/>
        <w:rPr>
          <w:rFonts w:ascii="Book Antiqua" w:hAnsi="Book Antiqua"/>
          <w:color w:val="000000" w:themeColor="text1"/>
          <w:sz w:val="24"/>
          <w:szCs w:val="24"/>
        </w:rPr>
      </w:pPr>
      <w:r w:rsidRPr="002C1BA2">
        <w:rPr>
          <w:rFonts w:ascii="Book Antiqua" w:hAnsi="Book Antiqua"/>
          <w:color w:val="000000" w:themeColor="text1"/>
          <w:w w:val="109"/>
          <w:sz w:val="24"/>
          <w:szCs w:val="24"/>
        </w:rPr>
        <w:t xml:space="preserve">The discovery of law by judges in the Religious Courts is a necessity in resolving cases that become competencies to be resolved, including the discovery of Islamic law which in implementing it really needs to be combined and compared with rules outside Islamic law. The legal findings discussed in this study are specifically in the case of disputes over the execution of guarantees in </w:t>
      </w:r>
      <w:proofErr w:type="spellStart"/>
      <w:r w:rsidRPr="002C1BA2">
        <w:rPr>
          <w:rFonts w:ascii="Book Antiqua" w:hAnsi="Book Antiqua"/>
          <w:color w:val="000000" w:themeColor="text1"/>
          <w:w w:val="109"/>
          <w:sz w:val="24"/>
          <w:szCs w:val="24"/>
        </w:rPr>
        <w:t>musyarakah</w:t>
      </w:r>
      <w:proofErr w:type="spellEnd"/>
      <w:r w:rsidRPr="002C1BA2">
        <w:rPr>
          <w:rFonts w:ascii="Book Antiqua" w:hAnsi="Book Antiqua"/>
          <w:color w:val="000000" w:themeColor="text1"/>
          <w:w w:val="109"/>
          <w:sz w:val="24"/>
          <w:szCs w:val="24"/>
        </w:rPr>
        <w:t xml:space="preserve"> financing</w:t>
      </w:r>
      <w:r w:rsidRPr="002C1BA2">
        <w:rPr>
          <w:rFonts w:ascii="Book Antiqua" w:hAnsi="Book Antiqua"/>
          <w:i/>
          <w:iCs/>
          <w:color w:val="000000" w:themeColor="text1"/>
          <w:w w:val="109"/>
          <w:sz w:val="24"/>
          <w:szCs w:val="24"/>
        </w:rPr>
        <w:t>.</w:t>
      </w:r>
      <w:r w:rsidRPr="002C1BA2">
        <w:rPr>
          <w:rFonts w:ascii="Book Antiqua" w:hAnsi="Book Antiqua"/>
          <w:color w:val="000000" w:themeColor="text1"/>
          <w:sz w:val="24"/>
          <w:szCs w:val="24"/>
        </w:rPr>
        <w:t xml:space="preserve"> </w:t>
      </w:r>
    </w:p>
    <w:p w14:paraId="2073296E" w14:textId="77777777" w:rsidR="002C1BA2" w:rsidRPr="002C1BA2" w:rsidRDefault="002C1BA2" w:rsidP="002C1BA2">
      <w:pPr>
        <w:ind w:firstLine="720"/>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When dealing with the issue of disputed execution of guarantees in problematic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judges of the first instance only consider the negligence factor (or what in the language of Islamic jurisprudence is more accurately referred to as </w:t>
      </w:r>
      <w:r w:rsidRPr="002C1BA2">
        <w:rPr>
          <w:rFonts w:ascii="Book Antiqua" w:hAnsi="Book Antiqua"/>
          <w:i/>
          <w:iCs/>
          <w:color w:val="000000" w:themeColor="text1"/>
          <w:sz w:val="24"/>
          <w:szCs w:val="24"/>
        </w:rPr>
        <w:t>at-</w:t>
      </w:r>
      <w:proofErr w:type="spellStart"/>
      <w:r w:rsidRPr="002C1BA2">
        <w:rPr>
          <w:rFonts w:ascii="Book Antiqua" w:hAnsi="Book Antiqua"/>
          <w:i/>
          <w:iCs/>
          <w:color w:val="000000" w:themeColor="text1"/>
          <w:sz w:val="24"/>
          <w:szCs w:val="24"/>
        </w:rPr>
        <w:t>ta'addi</w:t>
      </w:r>
      <w:proofErr w:type="spellEnd"/>
      <w:r w:rsidRPr="002C1BA2">
        <w:rPr>
          <w:rFonts w:ascii="Book Antiqua" w:hAnsi="Book Antiqua"/>
          <w:color w:val="000000" w:themeColor="text1"/>
          <w:sz w:val="24"/>
          <w:szCs w:val="24"/>
        </w:rPr>
        <w:t xml:space="preserve">, which is a deliberate mistake) from the sharia bank and not being careful in researching that in fact the customer also has a role in negligence which results in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losses. The first-level judge in this case has actually tried to interpret the law on the concept of intentional error or negligence and fraud which is not formulated in the laws and regulations or the DSN MUI fatwa. The judge saw that the loss of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which was the hands off the insurance company to pay off the debts of the customer who died due to the reason that the disbursement of financing was made before the insurance policy was issued, was purely due to the fault of the </w:t>
      </w:r>
      <w:proofErr w:type="spellStart"/>
      <w:r w:rsidRPr="002C1BA2">
        <w:rPr>
          <w:rFonts w:ascii="Book Antiqua" w:hAnsi="Book Antiqua"/>
          <w:color w:val="000000" w:themeColor="text1"/>
          <w:sz w:val="24"/>
          <w:szCs w:val="24"/>
        </w:rPr>
        <w:t>shari'ah</w:t>
      </w:r>
      <w:proofErr w:type="spellEnd"/>
      <w:r w:rsidRPr="002C1BA2">
        <w:rPr>
          <w:rFonts w:ascii="Book Antiqua" w:hAnsi="Book Antiqua"/>
          <w:color w:val="000000" w:themeColor="text1"/>
          <w:sz w:val="24"/>
          <w:szCs w:val="24"/>
        </w:rPr>
        <w:t xml:space="preserve"> bank as one of the </w:t>
      </w:r>
      <w:proofErr w:type="spellStart"/>
      <w:r w:rsidRPr="002C1BA2">
        <w:rPr>
          <w:rFonts w:ascii="Book Antiqua" w:hAnsi="Book Antiqua"/>
          <w:i/>
          <w:iCs/>
          <w:color w:val="000000" w:themeColor="text1"/>
          <w:sz w:val="24"/>
          <w:szCs w:val="24"/>
        </w:rPr>
        <w:t>syarik</w:t>
      </w:r>
      <w:r w:rsidRPr="002C1BA2">
        <w:rPr>
          <w:rFonts w:ascii="Book Antiqua" w:hAnsi="Book Antiqua"/>
          <w:color w:val="000000" w:themeColor="text1"/>
          <w:sz w:val="24"/>
          <w:szCs w:val="24"/>
        </w:rPr>
        <w:t>'s</w:t>
      </w:r>
      <w:proofErr w:type="spellEnd"/>
      <w:r w:rsidRPr="002C1BA2">
        <w:rPr>
          <w:rFonts w:ascii="Book Antiqua" w:hAnsi="Book Antiqua"/>
          <w:color w:val="000000" w:themeColor="text1"/>
          <w:sz w:val="24"/>
          <w:szCs w:val="24"/>
        </w:rPr>
        <w:t xml:space="preserve">, so that the customer as another </w:t>
      </w:r>
      <w:proofErr w:type="spellStart"/>
      <w:r w:rsidRPr="002C1BA2">
        <w:rPr>
          <w:rFonts w:ascii="Book Antiqua" w:hAnsi="Book Antiqua"/>
          <w:i/>
          <w:iCs/>
          <w:color w:val="000000" w:themeColor="text1"/>
          <w:sz w:val="24"/>
          <w:szCs w:val="24"/>
        </w:rPr>
        <w:t>syarik</w:t>
      </w:r>
      <w:proofErr w:type="spellEnd"/>
      <w:r w:rsidRPr="002C1BA2">
        <w:rPr>
          <w:rFonts w:ascii="Book Antiqua" w:hAnsi="Book Antiqua"/>
          <w:color w:val="000000" w:themeColor="text1"/>
          <w:sz w:val="24"/>
          <w:szCs w:val="24"/>
        </w:rPr>
        <w:t xml:space="preserve"> did not need to bear the loss because the financing should have been repaid by the insurance if there is no accelerated disbursement before the insurance policy is issued, because the customer has paid the insurance fee. The legal interpretation of the concept of negligence by the judge of the first instance is manifested when in assessing the fact that the customer has failed to pay installments, it does not directly link it with negligence when violating the contents of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contract agreement, namely paying on time. The judge at the first instance expanded the scope of "negligence" in the case by exploring the legal fact that the source of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loss was because the sharia bank made it easier for the disbursement of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even though the insurance policy on behalf of the customer had not yet been issued. This is seen from the theory of legal </w:t>
      </w:r>
      <w:proofErr w:type="gramStart"/>
      <w:r w:rsidRPr="002C1BA2">
        <w:rPr>
          <w:rFonts w:ascii="Book Antiqua" w:hAnsi="Book Antiqua"/>
          <w:color w:val="000000" w:themeColor="text1"/>
          <w:sz w:val="24"/>
          <w:szCs w:val="24"/>
        </w:rPr>
        <w:t>discovery,</w:t>
      </w:r>
      <w:proofErr w:type="gramEnd"/>
      <w:r w:rsidRPr="002C1BA2">
        <w:rPr>
          <w:rFonts w:ascii="Book Antiqua" w:hAnsi="Book Antiqua"/>
          <w:color w:val="000000" w:themeColor="text1"/>
          <w:sz w:val="24"/>
          <w:szCs w:val="24"/>
        </w:rPr>
        <w:t xml:space="preserve"> the judge has made a decision by conducting ijtihad and the thought process to find the law for the case he is handling. The legal interpretation by first-level </w:t>
      </w:r>
      <w:r w:rsidRPr="002C1BA2">
        <w:rPr>
          <w:rFonts w:ascii="Book Antiqua" w:hAnsi="Book Antiqua"/>
          <w:color w:val="000000" w:themeColor="text1"/>
          <w:sz w:val="24"/>
          <w:szCs w:val="24"/>
        </w:rPr>
        <w:lastRenderedPageBreak/>
        <w:t xml:space="preserve">judges in interpreting the element of negligence by expanding the legal requirements for executing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guarantee is a form of ijtihad by carrying out interdisciplinary interpretations so as to provide a broad definition for the concept of negligent due to the absence of laws and regulations regarding negligent criteria which are a condition for allowing disbursement of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guarantee. </w:t>
      </w:r>
    </w:p>
    <w:p w14:paraId="7D091A34" w14:textId="77777777" w:rsidR="002C1BA2" w:rsidRPr="002C1BA2" w:rsidRDefault="002C1BA2" w:rsidP="002C1BA2">
      <w:pPr>
        <w:ind w:firstLine="720"/>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This is different from what is done by the court of appeals which applies legal norms as they are without interpreting the meaning of "negligence" which is the basis for allowing disbursement of guarantees in problematic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namely only basing the validity of the execution of guarantees because the customer has defaulted/failed pay the installments as stated in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agreement contract. According to the appellate judge, the absence of insurance is not a barrier to disbursing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because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is still valid even though there is no insurance. In this context, the appeals panel seems to only apply the contents of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contract textually. The appeals panel did not pay close attention to that "negligence" in Article 8 letter o of PBI Number 7/46/PBI/2005 needs to be interpreted because the criteria are negligent not only on the issue of default or default, but negligence also includes who actually did the negligence causing losses in financing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In this case, what the appellate judge does is not in accordance with the theory of justice, because it punishes the customer to bear all losses in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even though there is a legal fact that sharia banks and customers both have contributed to the loss in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as described on. What the appellate judge did in this case shows that there are no regulations or legislation that regulates in more detail the criteria for negligence, if the expansion of its meaning is not explored by comparing it with the concept of negligent outside positive law, such as the concept of negligence in Islamic jurisprudence, it will result in to the unprotected rights of the owner of the guarantee for a mistake that was not only committed by him but also apparently committed by a </w:t>
      </w:r>
      <w:proofErr w:type="spellStart"/>
      <w:r w:rsidRPr="002C1BA2">
        <w:rPr>
          <w:rFonts w:ascii="Book Antiqua" w:hAnsi="Book Antiqua"/>
          <w:color w:val="000000" w:themeColor="text1"/>
          <w:sz w:val="24"/>
          <w:szCs w:val="24"/>
        </w:rPr>
        <w:t>shari'ah</w:t>
      </w:r>
      <w:proofErr w:type="spellEnd"/>
      <w:r w:rsidRPr="002C1BA2">
        <w:rPr>
          <w:rFonts w:ascii="Book Antiqua" w:hAnsi="Book Antiqua"/>
          <w:color w:val="000000" w:themeColor="text1"/>
          <w:sz w:val="24"/>
          <w:szCs w:val="24"/>
        </w:rPr>
        <w:t xml:space="preserve"> bank, always one of the parties bound by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contract. For this reason, the task and role of judges is highly anticipated by the community, namely to explore the meaning of "negligence" which leads to losses in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w:t>
      </w:r>
    </w:p>
    <w:p w14:paraId="613F3466" w14:textId="77777777" w:rsidR="002C1BA2" w:rsidRPr="002C1BA2" w:rsidRDefault="002C1BA2" w:rsidP="002C1BA2">
      <w:pPr>
        <w:ind w:firstLine="720"/>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Meanwhile, the Assembly at the cassation level, using the legal discovery method, has explored the concept of negligence and implemented it in the existing legal facts. The cassation panel interpreted that the bank's carelessness and carelessness in disbursing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before the insurance policy was issued, as a form of negligence on the part of the bank as one of </w:t>
      </w:r>
      <w:proofErr w:type="spellStart"/>
      <w:r w:rsidRPr="002C1BA2">
        <w:rPr>
          <w:rFonts w:ascii="Book Antiqua" w:hAnsi="Book Antiqua"/>
          <w:color w:val="000000" w:themeColor="text1"/>
          <w:sz w:val="24"/>
          <w:szCs w:val="24"/>
        </w:rPr>
        <w:t>syarik</w:t>
      </w:r>
      <w:proofErr w:type="spellEnd"/>
      <w:r w:rsidRPr="002C1BA2">
        <w:rPr>
          <w:rFonts w:ascii="Book Antiqua" w:hAnsi="Book Antiqua"/>
          <w:color w:val="000000" w:themeColor="text1"/>
          <w:sz w:val="24"/>
          <w:szCs w:val="24"/>
        </w:rPr>
        <w:t xml:space="preserve">. Meanwhile, the actions taken by the customer's wife when making a statement that the heirs are willing to bear the financing loss if something happens to the customer before the insurance policy is issued, is also interpreted by the Panel of Judges at the cassation level as a form of negligence on the part of the customer. </w:t>
      </w:r>
      <w:r w:rsidRPr="002C1BA2">
        <w:rPr>
          <w:rFonts w:ascii="Book Antiqua" w:hAnsi="Book Antiqua"/>
          <w:color w:val="000000" w:themeColor="text1"/>
          <w:sz w:val="24"/>
          <w:szCs w:val="24"/>
        </w:rPr>
        <w:lastRenderedPageBreak/>
        <w:t xml:space="preserve">So, what was decided by the Cassation Council when punishing the sharia bank and the customer's heirs to jointly bear the proportional loss of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is a method of legal discovery on the concept of "negligence" which is not detailed in the laws and regulations. as well as in the DSN MUI fatwa Number 08/DSN-MUI/IV/2000 concerning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w:t>
      </w:r>
    </w:p>
    <w:p w14:paraId="50CA2277" w14:textId="77777777" w:rsidR="002C1BA2" w:rsidRPr="002C1BA2" w:rsidRDefault="002C1BA2" w:rsidP="002C1BA2">
      <w:pPr>
        <w:ind w:firstLine="720"/>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From the three decision cases above, it can be concluded that the appellate court in examining and adjudicating cases of dispute over the execution of guarantees in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only applies legal norms as they are, namely making default as the only benchmark for negligence on the part of the customer.</w:t>
      </w:r>
    </w:p>
    <w:p w14:paraId="75992145" w14:textId="77777777" w:rsidR="002C1BA2" w:rsidRPr="002C1BA2" w:rsidRDefault="002C1BA2" w:rsidP="002C1BA2">
      <w:pPr>
        <w:ind w:firstLine="720"/>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Progressivity and systematic interpretation appeared to be carried out by first-degree judges and cassation judges who viewed the problems that arose not only as default issues in the form of default on the part of the customer, but touched on the essential aspect of the element of intentional negligence/error, namely seriously assessing the facts of the trial. namely the problem of who caused the loss of </w:t>
      </w:r>
      <w:proofErr w:type="spellStart"/>
      <w:r w:rsidRPr="002C1BA2">
        <w:rPr>
          <w:rFonts w:ascii="Book Antiqua" w:hAnsi="Book Antiqua"/>
          <w:i/>
          <w:iCs/>
          <w:color w:val="000000" w:themeColor="text1"/>
          <w:sz w:val="24"/>
          <w:szCs w:val="24"/>
        </w:rPr>
        <w:t>musyarakah</w:t>
      </w:r>
      <w:proofErr w:type="spellEnd"/>
      <w:r w:rsidRPr="002C1BA2">
        <w:rPr>
          <w:rFonts w:ascii="Book Antiqua" w:hAnsi="Book Antiqua"/>
          <w:color w:val="000000" w:themeColor="text1"/>
          <w:sz w:val="24"/>
          <w:szCs w:val="24"/>
        </w:rPr>
        <w:t xml:space="preserve">. Based on the evidence presented by the parties in the trial, it has been proven that the sharia bank has contributed to the occurrence of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losses, namely by accelerating the disbursement of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financing before the insurance policy on behalf of the customer is issued. Meanwhile, the next legal fact that is proven is that the customer also has a role in the occurrence of </w:t>
      </w:r>
      <w:proofErr w:type="spellStart"/>
      <w:r w:rsidRPr="002C1BA2">
        <w:rPr>
          <w:rFonts w:ascii="Book Antiqua" w:hAnsi="Book Antiqua"/>
          <w:i/>
          <w:iCs/>
          <w:color w:val="000000" w:themeColor="text1"/>
          <w:sz w:val="24"/>
          <w:szCs w:val="24"/>
        </w:rPr>
        <w:t>musyarakah</w:t>
      </w:r>
      <w:proofErr w:type="spellEnd"/>
      <w:r w:rsidRPr="002C1BA2">
        <w:rPr>
          <w:rFonts w:ascii="Book Antiqua" w:hAnsi="Book Antiqua"/>
          <w:color w:val="000000" w:themeColor="text1"/>
          <w:sz w:val="24"/>
          <w:szCs w:val="24"/>
        </w:rPr>
        <w:t xml:space="preserve"> losses, namely by making a statement letter signed by Plaintiff I (the customer's wife) stating that he is ready to bear the customer's debt if something happens to the customer.</w:t>
      </w:r>
    </w:p>
    <w:p w14:paraId="0E9E3F71" w14:textId="77777777" w:rsidR="002C1BA2" w:rsidRPr="002C1BA2" w:rsidRDefault="002C1BA2" w:rsidP="002C1BA2">
      <w:pPr>
        <w:ind w:firstLine="720"/>
        <w:jc w:val="both"/>
        <w:rPr>
          <w:rFonts w:ascii="Book Antiqua" w:hAnsi="Book Antiqua"/>
          <w:color w:val="000000" w:themeColor="text1"/>
          <w:sz w:val="24"/>
          <w:szCs w:val="24"/>
        </w:rPr>
      </w:pPr>
      <w:r w:rsidRPr="002C1BA2">
        <w:rPr>
          <w:rFonts w:ascii="Book Antiqua" w:hAnsi="Book Antiqua"/>
          <w:color w:val="000000" w:themeColor="text1"/>
          <w:sz w:val="24"/>
          <w:szCs w:val="24"/>
        </w:rPr>
        <w:t xml:space="preserve">The first level assembly and the cassation level have interpreted the meaning of negligence or fraud that is not explained in the legislation. However, what was done by the cassation panel turned out to be deeper than what the first instance court did, which only viewed the bank's carelessness as a factor of negligence on the part of the bank. The cassation panel even considered that what the customer's wife did in making a statement that she was willing to bear the financing risk if something happened to the customer before the insurance policy was a form of negligence on the part of the customer, so that it is as fair as possible if the loss of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must be shared proportionally by the two parties who make the </w:t>
      </w:r>
      <w:proofErr w:type="spellStart"/>
      <w:r w:rsidRPr="002C1BA2">
        <w:rPr>
          <w:rFonts w:ascii="Book Antiqua" w:hAnsi="Book Antiqua"/>
          <w:color w:val="000000" w:themeColor="text1"/>
          <w:sz w:val="24"/>
          <w:szCs w:val="24"/>
        </w:rPr>
        <w:t>musyarakah</w:t>
      </w:r>
      <w:proofErr w:type="spellEnd"/>
      <w:r w:rsidRPr="002C1BA2">
        <w:rPr>
          <w:rFonts w:ascii="Book Antiqua" w:hAnsi="Book Antiqua"/>
          <w:color w:val="000000" w:themeColor="text1"/>
          <w:sz w:val="24"/>
          <w:szCs w:val="24"/>
        </w:rPr>
        <w:t xml:space="preserve"> contract, namely the sharia bank and the customer's heirs. Thus, this cassation decision is closer to a sense of justice. Therefore, in terms of the theory of justice and the theory of legal discovery, this cassation decision illustrates that the theory of justice and the theory of legal discovery go hand in hand.</w:t>
      </w:r>
    </w:p>
    <w:p w14:paraId="68FABA4E" w14:textId="77777777" w:rsidR="00B56D4F" w:rsidRPr="002C1BA2" w:rsidRDefault="00B56D4F" w:rsidP="002C1BA2">
      <w:pPr>
        <w:pStyle w:val="BodyText"/>
        <w:rPr>
          <w:rFonts w:ascii="Book Antiqua" w:hAnsi="Book Antiqua"/>
          <w:sz w:val="24"/>
          <w:szCs w:val="24"/>
        </w:rPr>
      </w:pPr>
    </w:p>
    <w:p w14:paraId="63DF895A" w14:textId="77777777" w:rsidR="00B56D4F" w:rsidRPr="00B56D4F" w:rsidRDefault="00B56D4F" w:rsidP="00B56D4F">
      <w:pPr>
        <w:pStyle w:val="NormalWeb"/>
        <w:shd w:val="clear" w:color="auto" w:fill="FFFFFF"/>
        <w:spacing w:before="0" w:beforeAutospacing="0" w:after="0" w:afterAutospacing="0"/>
        <w:rPr>
          <w:rFonts w:ascii="Book Antiqua" w:hAnsi="Book Antiqua" w:cs="Tahoma"/>
        </w:rPr>
      </w:pPr>
    </w:p>
    <w:p w14:paraId="385CFB64" w14:textId="7894BBC9" w:rsidR="00B56D4F" w:rsidRPr="00B56D4F" w:rsidRDefault="00B56D4F" w:rsidP="00B56D4F">
      <w:pPr>
        <w:pStyle w:val="Heading1"/>
        <w:jc w:val="left"/>
        <w:rPr>
          <w:rFonts w:ascii="Book Antiqua" w:hAnsi="Book Antiqua"/>
          <w:sz w:val="24"/>
          <w:szCs w:val="24"/>
        </w:rPr>
      </w:pPr>
      <w:r>
        <w:rPr>
          <w:rFonts w:ascii="Book Antiqua" w:hAnsi="Book Antiqua"/>
          <w:sz w:val="24"/>
          <w:szCs w:val="24"/>
          <w:lang w:val="id-ID"/>
        </w:rPr>
        <w:lastRenderedPageBreak/>
        <w:t xml:space="preserve">4. </w:t>
      </w:r>
      <w:r w:rsidRPr="00B56D4F">
        <w:rPr>
          <w:rFonts w:ascii="Book Antiqua" w:hAnsi="Book Antiqua"/>
          <w:sz w:val="24"/>
          <w:szCs w:val="24"/>
        </w:rPr>
        <w:t>Conclusion</w:t>
      </w:r>
    </w:p>
    <w:p w14:paraId="65EF7274" w14:textId="1B384BF7" w:rsidR="002C1BA2" w:rsidRPr="008C51A1" w:rsidRDefault="00B56D4F" w:rsidP="002C1BA2">
      <w:pPr>
        <w:ind w:firstLine="720"/>
        <w:jc w:val="both"/>
        <w:rPr>
          <w:rFonts w:ascii="Book Antiqua" w:hAnsi="Book Antiqua"/>
          <w:color w:val="000000" w:themeColor="text1"/>
          <w:sz w:val="24"/>
          <w:szCs w:val="24"/>
        </w:rPr>
      </w:pPr>
      <w:r w:rsidRPr="00B56D4F">
        <w:rPr>
          <w:rFonts w:ascii="Book Antiqua" w:hAnsi="Book Antiqua"/>
          <w:sz w:val="24"/>
          <w:szCs w:val="24"/>
        </w:rPr>
        <w:t>.</w:t>
      </w:r>
      <w:r w:rsidR="002C1BA2" w:rsidRPr="002C1BA2">
        <w:rPr>
          <w:rFonts w:ascii="Book Antiqua" w:hAnsi="Book Antiqua"/>
          <w:color w:val="000000" w:themeColor="text1"/>
          <w:sz w:val="24"/>
          <w:szCs w:val="24"/>
        </w:rPr>
        <w:t xml:space="preserve"> </w:t>
      </w:r>
      <w:r w:rsidR="002C1BA2" w:rsidRPr="008C51A1">
        <w:rPr>
          <w:rFonts w:ascii="Book Antiqua" w:hAnsi="Book Antiqua"/>
          <w:color w:val="000000" w:themeColor="text1"/>
          <w:sz w:val="24"/>
          <w:szCs w:val="24"/>
        </w:rPr>
        <w:t>Based on the analysis in the discussion above, this article can be concluded as follows:</w:t>
      </w:r>
    </w:p>
    <w:p w14:paraId="2E06C35A" w14:textId="77777777" w:rsidR="002C1BA2" w:rsidRPr="008C51A1" w:rsidRDefault="002C1BA2" w:rsidP="002C1BA2">
      <w:pPr>
        <w:pStyle w:val="ListParagraph"/>
        <w:numPr>
          <w:ilvl w:val="0"/>
          <w:numId w:val="49"/>
        </w:numPr>
        <w:spacing w:after="0" w:line="240" w:lineRule="auto"/>
        <w:ind w:left="426" w:hanging="426"/>
        <w:jc w:val="both"/>
        <w:rPr>
          <w:rFonts w:ascii="Book Antiqua" w:hAnsi="Book Antiqua"/>
          <w:color w:val="000000" w:themeColor="text1"/>
          <w:sz w:val="24"/>
          <w:szCs w:val="24"/>
        </w:rPr>
      </w:pPr>
      <w:r w:rsidRPr="008C51A1">
        <w:rPr>
          <w:rFonts w:ascii="Book Antiqua" w:hAnsi="Book Antiqua"/>
          <w:color w:val="000000" w:themeColor="text1"/>
          <w:sz w:val="24"/>
          <w:szCs w:val="24"/>
        </w:rPr>
        <w:t xml:space="preserve">Disputes on the execution of guarantees in </w:t>
      </w:r>
      <w:proofErr w:type="spellStart"/>
      <w:r w:rsidRPr="008C51A1">
        <w:rPr>
          <w:rFonts w:ascii="Book Antiqua" w:hAnsi="Book Antiqua"/>
          <w:color w:val="000000" w:themeColor="text1"/>
          <w:sz w:val="24"/>
          <w:szCs w:val="24"/>
        </w:rPr>
        <w:t>musyarakah</w:t>
      </w:r>
      <w:proofErr w:type="spellEnd"/>
      <w:r w:rsidRPr="008C51A1">
        <w:rPr>
          <w:rFonts w:ascii="Book Antiqua" w:hAnsi="Book Antiqua"/>
          <w:color w:val="000000" w:themeColor="text1"/>
          <w:sz w:val="24"/>
          <w:szCs w:val="24"/>
        </w:rPr>
        <w:t xml:space="preserve"> financing often arise because the customer feels that his rights have not been protected.</w:t>
      </w:r>
    </w:p>
    <w:p w14:paraId="54812D29" w14:textId="77777777" w:rsidR="002C1BA2" w:rsidRPr="008C51A1" w:rsidRDefault="002C1BA2" w:rsidP="002C1BA2">
      <w:pPr>
        <w:pStyle w:val="ListParagraph"/>
        <w:numPr>
          <w:ilvl w:val="0"/>
          <w:numId w:val="49"/>
        </w:numPr>
        <w:spacing w:after="0" w:line="240" w:lineRule="auto"/>
        <w:ind w:left="426" w:hanging="426"/>
        <w:jc w:val="both"/>
        <w:rPr>
          <w:rFonts w:ascii="Book Antiqua" w:hAnsi="Book Antiqua"/>
          <w:color w:val="000000" w:themeColor="text1"/>
          <w:sz w:val="24"/>
          <w:szCs w:val="24"/>
        </w:rPr>
      </w:pPr>
      <w:r w:rsidRPr="008C51A1">
        <w:rPr>
          <w:rFonts w:ascii="Book Antiqua" w:hAnsi="Book Antiqua"/>
          <w:color w:val="000000" w:themeColor="text1"/>
          <w:sz w:val="24"/>
          <w:szCs w:val="24"/>
        </w:rPr>
        <w:t xml:space="preserve">Like </w:t>
      </w:r>
      <w:proofErr w:type="spellStart"/>
      <w:r w:rsidRPr="008C51A1">
        <w:rPr>
          <w:rFonts w:ascii="Book Antiqua" w:hAnsi="Book Antiqua"/>
          <w:i/>
          <w:iCs/>
          <w:color w:val="000000" w:themeColor="text1"/>
          <w:sz w:val="24"/>
          <w:szCs w:val="24"/>
        </w:rPr>
        <w:t>mudharabah</w:t>
      </w:r>
      <w:proofErr w:type="spellEnd"/>
      <w:r w:rsidRPr="008C51A1">
        <w:rPr>
          <w:rFonts w:ascii="Book Antiqua" w:hAnsi="Book Antiqua"/>
          <w:i/>
          <w:iCs/>
          <w:color w:val="000000" w:themeColor="text1"/>
          <w:sz w:val="24"/>
          <w:szCs w:val="24"/>
        </w:rPr>
        <w:t xml:space="preserve">, </w:t>
      </w:r>
      <w:proofErr w:type="spellStart"/>
      <w:r w:rsidRPr="008C51A1">
        <w:rPr>
          <w:rFonts w:ascii="Book Antiqua" w:hAnsi="Book Antiqua"/>
          <w:i/>
          <w:iCs/>
          <w:color w:val="000000" w:themeColor="text1"/>
          <w:sz w:val="24"/>
          <w:szCs w:val="24"/>
        </w:rPr>
        <w:t>musyarakah</w:t>
      </w:r>
      <w:proofErr w:type="spellEnd"/>
      <w:r w:rsidRPr="008C51A1">
        <w:rPr>
          <w:rFonts w:ascii="Book Antiqua" w:hAnsi="Book Antiqua"/>
          <w:color w:val="000000" w:themeColor="text1"/>
          <w:sz w:val="24"/>
          <w:szCs w:val="24"/>
        </w:rPr>
        <w:t xml:space="preserve"> was originally a form of contract based on trust, and not a compensation contract or based on accounts payable. However, to avoid negligence and fraud on the part of the customer, LKS may ask for a guarantee from the customer</w:t>
      </w:r>
    </w:p>
    <w:p w14:paraId="7AAE5316" w14:textId="77777777" w:rsidR="002C1BA2" w:rsidRPr="008C51A1" w:rsidRDefault="002C1BA2" w:rsidP="002C1BA2">
      <w:pPr>
        <w:pStyle w:val="ListParagraph"/>
        <w:numPr>
          <w:ilvl w:val="0"/>
          <w:numId w:val="49"/>
        </w:numPr>
        <w:spacing w:after="0" w:line="240" w:lineRule="auto"/>
        <w:ind w:left="426" w:hanging="426"/>
        <w:jc w:val="both"/>
        <w:rPr>
          <w:rFonts w:ascii="Book Antiqua" w:hAnsi="Book Antiqua"/>
          <w:color w:val="000000" w:themeColor="text1"/>
          <w:sz w:val="24"/>
          <w:szCs w:val="24"/>
        </w:rPr>
      </w:pPr>
      <w:r w:rsidRPr="008C51A1">
        <w:rPr>
          <w:rFonts w:ascii="Book Antiqua" w:hAnsi="Book Antiqua"/>
          <w:color w:val="000000" w:themeColor="text1"/>
          <w:sz w:val="24"/>
          <w:szCs w:val="24"/>
        </w:rPr>
        <w:t xml:space="preserve">In the perspective of Islamic jurisprudence, the elements that allow to sell customer guarantees to cover </w:t>
      </w:r>
      <w:proofErr w:type="spellStart"/>
      <w:r w:rsidRPr="008C51A1">
        <w:rPr>
          <w:rFonts w:ascii="Book Antiqua" w:hAnsi="Book Antiqua"/>
          <w:i/>
          <w:iCs/>
          <w:color w:val="000000" w:themeColor="text1"/>
          <w:sz w:val="24"/>
          <w:szCs w:val="24"/>
        </w:rPr>
        <w:t>musyarakah</w:t>
      </w:r>
      <w:proofErr w:type="spellEnd"/>
      <w:r w:rsidRPr="008C51A1">
        <w:rPr>
          <w:rFonts w:ascii="Book Antiqua" w:hAnsi="Book Antiqua"/>
          <w:color w:val="000000" w:themeColor="text1"/>
          <w:sz w:val="24"/>
          <w:szCs w:val="24"/>
        </w:rPr>
        <w:t xml:space="preserve"> losses are intentional errors (</w:t>
      </w:r>
      <w:r w:rsidRPr="008C51A1">
        <w:rPr>
          <w:rFonts w:ascii="Book Antiqua" w:hAnsi="Book Antiqua"/>
          <w:i/>
          <w:iCs/>
          <w:color w:val="000000" w:themeColor="text1"/>
          <w:sz w:val="24"/>
          <w:szCs w:val="24"/>
        </w:rPr>
        <w:t>at-</w:t>
      </w:r>
      <w:proofErr w:type="spellStart"/>
      <w:r w:rsidRPr="008C51A1">
        <w:rPr>
          <w:rFonts w:ascii="Book Antiqua" w:hAnsi="Book Antiqua"/>
          <w:i/>
          <w:iCs/>
          <w:color w:val="000000" w:themeColor="text1"/>
          <w:sz w:val="24"/>
          <w:szCs w:val="24"/>
        </w:rPr>
        <w:t>ta'addi</w:t>
      </w:r>
      <w:proofErr w:type="spellEnd"/>
      <w:r w:rsidRPr="008C51A1">
        <w:rPr>
          <w:rFonts w:ascii="Book Antiqua" w:hAnsi="Book Antiqua"/>
          <w:color w:val="000000" w:themeColor="text1"/>
          <w:sz w:val="24"/>
          <w:szCs w:val="24"/>
        </w:rPr>
        <w:t>) and negligence (</w:t>
      </w:r>
      <w:r w:rsidRPr="008C51A1">
        <w:rPr>
          <w:rFonts w:ascii="Book Antiqua" w:hAnsi="Book Antiqua"/>
          <w:i/>
          <w:iCs/>
          <w:color w:val="000000" w:themeColor="text1"/>
          <w:sz w:val="24"/>
          <w:szCs w:val="24"/>
        </w:rPr>
        <w:t>at-</w:t>
      </w:r>
      <w:proofErr w:type="spellStart"/>
      <w:r w:rsidRPr="008C51A1">
        <w:rPr>
          <w:rFonts w:ascii="Book Antiqua" w:hAnsi="Book Antiqua"/>
          <w:i/>
          <w:iCs/>
          <w:color w:val="000000" w:themeColor="text1"/>
          <w:sz w:val="24"/>
          <w:szCs w:val="24"/>
        </w:rPr>
        <w:t>taqshir</w:t>
      </w:r>
      <w:proofErr w:type="spellEnd"/>
      <w:r w:rsidRPr="008C51A1">
        <w:rPr>
          <w:rFonts w:ascii="Book Antiqua" w:hAnsi="Book Antiqua"/>
          <w:color w:val="000000" w:themeColor="text1"/>
          <w:sz w:val="24"/>
          <w:szCs w:val="24"/>
        </w:rPr>
        <w:t xml:space="preserve">) in managing the capital belonging to LKS committed by customers, resulting in losses on LKS's capital. Meanwhile, from a positive legal perspective as contained in Article 8 letter o of PBI Number 7/46/PBI/2005, the element that allows selling customer guarantees to cover </w:t>
      </w:r>
      <w:proofErr w:type="spellStart"/>
      <w:r w:rsidRPr="008C51A1">
        <w:rPr>
          <w:rFonts w:ascii="Book Antiqua" w:hAnsi="Book Antiqua"/>
          <w:i/>
          <w:iCs/>
          <w:color w:val="000000" w:themeColor="text1"/>
          <w:sz w:val="24"/>
          <w:szCs w:val="24"/>
        </w:rPr>
        <w:t>musyarakah</w:t>
      </w:r>
      <w:proofErr w:type="spellEnd"/>
      <w:r w:rsidRPr="008C51A1">
        <w:rPr>
          <w:rFonts w:ascii="Book Antiqua" w:hAnsi="Book Antiqua"/>
          <w:color w:val="000000" w:themeColor="text1"/>
          <w:sz w:val="24"/>
          <w:szCs w:val="24"/>
        </w:rPr>
        <w:t xml:space="preserve"> losses is negligence and fraud on the part of the customer.</w:t>
      </w:r>
    </w:p>
    <w:p w14:paraId="0CB660FE" w14:textId="77777777" w:rsidR="002C1BA2" w:rsidRPr="008C51A1" w:rsidRDefault="002C1BA2" w:rsidP="002C1BA2">
      <w:pPr>
        <w:pStyle w:val="ListParagraph"/>
        <w:numPr>
          <w:ilvl w:val="0"/>
          <w:numId w:val="49"/>
        </w:numPr>
        <w:spacing w:after="0" w:line="240" w:lineRule="auto"/>
        <w:ind w:left="426" w:hanging="426"/>
        <w:jc w:val="both"/>
        <w:rPr>
          <w:rFonts w:ascii="Book Antiqua" w:hAnsi="Book Antiqua"/>
          <w:color w:val="000000" w:themeColor="text1"/>
          <w:sz w:val="24"/>
          <w:szCs w:val="24"/>
        </w:rPr>
      </w:pPr>
      <w:r w:rsidRPr="008C51A1">
        <w:rPr>
          <w:rFonts w:ascii="Book Antiqua" w:hAnsi="Book Antiqua"/>
          <w:color w:val="000000" w:themeColor="text1"/>
          <w:sz w:val="24"/>
          <w:szCs w:val="24"/>
        </w:rPr>
        <w:t xml:space="preserve">In giving consideration and legal reasoning in the decision on the execution of the </w:t>
      </w:r>
      <w:proofErr w:type="spellStart"/>
      <w:r w:rsidRPr="008C51A1">
        <w:rPr>
          <w:rFonts w:ascii="Book Antiqua" w:hAnsi="Book Antiqua"/>
          <w:i/>
          <w:iCs/>
          <w:color w:val="000000" w:themeColor="text1"/>
          <w:sz w:val="24"/>
          <w:szCs w:val="24"/>
        </w:rPr>
        <w:t>musyarakah</w:t>
      </w:r>
      <w:proofErr w:type="spellEnd"/>
      <w:r w:rsidRPr="008C51A1">
        <w:rPr>
          <w:rFonts w:ascii="Book Antiqua" w:hAnsi="Book Antiqua"/>
          <w:color w:val="000000" w:themeColor="text1"/>
          <w:sz w:val="24"/>
          <w:szCs w:val="24"/>
        </w:rPr>
        <w:t xml:space="preserve"> guarantee, the judge is based on two different tendencies. Some judges apply legal norms as they are without interpreting the meaning of "negligence" which is the basis for allowing disbursement of guarantees in problematic </w:t>
      </w:r>
      <w:proofErr w:type="spellStart"/>
      <w:r w:rsidRPr="008C51A1">
        <w:rPr>
          <w:rFonts w:ascii="Book Antiqua" w:hAnsi="Book Antiqua"/>
          <w:i/>
          <w:iCs/>
          <w:color w:val="000000" w:themeColor="text1"/>
          <w:sz w:val="24"/>
          <w:szCs w:val="24"/>
        </w:rPr>
        <w:t>Musyarakah</w:t>
      </w:r>
      <w:proofErr w:type="spellEnd"/>
      <w:r w:rsidRPr="008C51A1">
        <w:rPr>
          <w:rFonts w:ascii="Book Antiqua" w:hAnsi="Book Antiqua"/>
          <w:color w:val="000000" w:themeColor="text1"/>
          <w:sz w:val="24"/>
          <w:szCs w:val="24"/>
        </w:rPr>
        <w:t xml:space="preserve"> financing and some others carry out interdisciplinary interpretations so as to provide a broad definition for the concept of negligence;</w:t>
      </w:r>
    </w:p>
    <w:p w14:paraId="4BB39643" w14:textId="77777777" w:rsidR="002C1BA2" w:rsidRPr="008C51A1" w:rsidRDefault="002C1BA2" w:rsidP="002C1BA2">
      <w:pPr>
        <w:pStyle w:val="ListParagraph"/>
        <w:numPr>
          <w:ilvl w:val="0"/>
          <w:numId w:val="49"/>
        </w:numPr>
        <w:spacing w:after="0" w:line="240" w:lineRule="auto"/>
        <w:ind w:left="426" w:hanging="426"/>
        <w:jc w:val="both"/>
        <w:rPr>
          <w:rFonts w:ascii="Book Antiqua" w:hAnsi="Book Antiqua"/>
          <w:color w:val="000000" w:themeColor="text1"/>
          <w:sz w:val="24"/>
          <w:szCs w:val="24"/>
        </w:rPr>
      </w:pPr>
      <w:r w:rsidRPr="008C51A1">
        <w:rPr>
          <w:rFonts w:ascii="Book Antiqua" w:hAnsi="Book Antiqua"/>
          <w:color w:val="000000" w:themeColor="text1"/>
          <w:sz w:val="24"/>
          <w:szCs w:val="24"/>
        </w:rPr>
        <w:t>Disparities in decisions arise due to (</w:t>
      </w:r>
      <w:proofErr w:type="spellStart"/>
      <w:r w:rsidRPr="008C51A1">
        <w:rPr>
          <w:rFonts w:ascii="Book Antiqua" w:hAnsi="Book Antiqua"/>
          <w:color w:val="000000" w:themeColor="text1"/>
          <w:sz w:val="24"/>
          <w:szCs w:val="24"/>
        </w:rPr>
        <w:t>i</w:t>
      </w:r>
      <w:proofErr w:type="spellEnd"/>
      <w:r w:rsidRPr="008C51A1">
        <w:rPr>
          <w:rFonts w:ascii="Book Antiqua" w:hAnsi="Book Antiqua"/>
          <w:color w:val="000000" w:themeColor="text1"/>
          <w:sz w:val="24"/>
          <w:szCs w:val="24"/>
        </w:rPr>
        <w:t>) differences in interpreting statutory provisions which give rise to different methods of legal discovery and interpretation (ii) differences in assessing evidence and (iii) differences in the dynamics of thinking due to differences in understanding the meaning of law.</w:t>
      </w:r>
    </w:p>
    <w:p w14:paraId="439865B3" w14:textId="77777777" w:rsidR="002C1BA2" w:rsidRPr="008C51A1" w:rsidRDefault="002C1BA2" w:rsidP="002C1BA2">
      <w:pPr>
        <w:pStyle w:val="ListParagraph"/>
        <w:numPr>
          <w:ilvl w:val="0"/>
          <w:numId w:val="49"/>
        </w:numPr>
        <w:spacing w:after="0" w:line="240" w:lineRule="auto"/>
        <w:ind w:left="426" w:hanging="426"/>
        <w:jc w:val="both"/>
        <w:rPr>
          <w:rFonts w:ascii="Book Antiqua" w:hAnsi="Book Antiqua"/>
          <w:color w:val="000000" w:themeColor="text1"/>
          <w:sz w:val="24"/>
          <w:szCs w:val="24"/>
        </w:rPr>
      </w:pPr>
      <w:r w:rsidRPr="008C51A1">
        <w:rPr>
          <w:rFonts w:ascii="Book Antiqua" w:hAnsi="Book Antiqua"/>
          <w:color w:val="000000" w:themeColor="text1"/>
          <w:sz w:val="24"/>
          <w:szCs w:val="24"/>
        </w:rPr>
        <w:t xml:space="preserve">The legal consequence of the disparity in the decision is that some customers will have their rights protected and some will not. Therefore, the protection of the rights of the owner of the </w:t>
      </w:r>
      <w:proofErr w:type="spellStart"/>
      <w:r w:rsidRPr="008C51A1">
        <w:rPr>
          <w:rFonts w:ascii="Book Antiqua" w:hAnsi="Book Antiqua"/>
          <w:color w:val="000000" w:themeColor="text1"/>
          <w:sz w:val="24"/>
          <w:szCs w:val="24"/>
        </w:rPr>
        <w:t>musyarakah</w:t>
      </w:r>
      <w:proofErr w:type="spellEnd"/>
      <w:r w:rsidRPr="008C51A1">
        <w:rPr>
          <w:rFonts w:ascii="Book Antiqua" w:hAnsi="Book Antiqua"/>
          <w:color w:val="000000" w:themeColor="text1"/>
          <w:sz w:val="24"/>
          <w:szCs w:val="24"/>
        </w:rPr>
        <w:t xml:space="preserve"> guarantee in the construction of the judge's decision is still diverse;</w:t>
      </w:r>
    </w:p>
    <w:p w14:paraId="48826A4E" w14:textId="77777777" w:rsidR="002C1BA2" w:rsidRPr="008C51A1" w:rsidRDefault="002C1BA2" w:rsidP="002C1BA2">
      <w:pPr>
        <w:pStyle w:val="ListParagraph"/>
        <w:numPr>
          <w:ilvl w:val="0"/>
          <w:numId w:val="49"/>
        </w:numPr>
        <w:spacing w:after="0" w:line="240" w:lineRule="auto"/>
        <w:ind w:left="426" w:hanging="426"/>
        <w:jc w:val="both"/>
        <w:rPr>
          <w:rFonts w:ascii="Book Antiqua" w:hAnsi="Book Antiqua"/>
          <w:color w:val="000000" w:themeColor="text1"/>
          <w:sz w:val="24"/>
          <w:szCs w:val="24"/>
        </w:rPr>
      </w:pPr>
      <w:r w:rsidRPr="008C51A1">
        <w:rPr>
          <w:rFonts w:ascii="Book Antiqua" w:hAnsi="Book Antiqua"/>
          <w:color w:val="000000" w:themeColor="text1"/>
          <w:sz w:val="24"/>
          <w:szCs w:val="24"/>
        </w:rPr>
        <w:t>Based on a study of 3 decisions of the religious courts, namely the decision of the Medan PA Number 944/</w:t>
      </w:r>
      <w:proofErr w:type="spellStart"/>
      <w:r w:rsidRPr="008C51A1">
        <w:rPr>
          <w:rFonts w:ascii="Book Antiqua" w:hAnsi="Book Antiqua"/>
          <w:color w:val="000000" w:themeColor="text1"/>
          <w:sz w:val="24"/>
          <w:szCs w:val="24"/>
        </w:rPr>
        <w:t>Pdt.G</w:t>
      </w:r>
      <w:proofErr w:type="spellEnd"/>
      <w:r w:rsidRPr="008C51A1">
        <w:rPr>
          <w:rFonts w:ascii="Book Antiqua" w:hAnsi="Book Antiqua"/>
          <w:color w:val="000000" w:themeColor="text1"/>
          <w:sz w:val="24"/>
          <w:szCs w:val="24"/>
        </w:rPr>
        <w:t>/2015/</w:t>
      </w:r>
      <w:proofErr w:type="spellStart"/>
      <w:r w:rsidRPr="008C51A1">
        <w:rPr>
          <w:rFonts w:ascii="Book Antiqua" w:hAnsi="Book Antiqua"/>
          <w:color w:val="000000" w:themeColor="text1"/>
          <w:sz w:val="24"/>
          <w:szCs w:val="24"/>
        </w:rPr>
        <w:t>PA.Mdn</w:t>
      </w:r>
      <w:proofErr w:type="spellEnd"/>
      <w:r w:rsidRPr="008C51A1">
        <w:rPr>
          <w:rFonts w:ascii="Book Antiqua" w:hAnsi="Book Antiqua"/>
          <w:color w:val="000000" w:themeColor="text1"/>
          <w:sz w:val="24"/>
          <w:szCs w:val="24"/>
        </w:rPr>
        <w:t xml:space="preserve"> dated March 10, 2016, the Medan PTA Decision Number 68/</w:t>
      </w:r>
      <w:proofErr w:type="spellStart"/>
      <w:r w:rsidRPr="008C51A1">
        <w:rPr>
          <w:rFonts w:ascii="Book Antiqua" w:hAnsi="Book Antiqua"/>
          <w:color w:val="000000" w:themeColor="text1"/>
          <w:sz w:val="24"/>
          <w:szCs w:val="24"/>
        </w:rPr>
        <w:t>Pdt.G</w:t>
      </w:r>
      <w:proofErr w:type="spellEnd"/>
      <w:r w:rsidRPr="008C51A1">
        <w:rPr>
          <w:rFonts w:ascii="Book Antiqua" w:hAnsi="Book Antiqua"/>
          <w:color w:val="000000" w:themeColor="text1"/>
          <w:sz w:val="24"/>
          <w:szCs w:val="24"/>
        </w:rPr>
        <w:t>/2016/</w:t>
      </w:r>
      <w:proofErr w:type="spellStart"/>
      <w:r w:rsidRPr="008C51A1">
        <w:rPr>
          <w:rFonts w:ascii="Book Antiqua" w:hAnsi="Book Antiqua"/>
          <w:color w:val="000000" w:themeColor="text1"/>
          <w:sz w:val="24"/>
          <w:szCs w:val="24"/>
        </w:rPr>
        <w:t>PTA.Mdn</w:t>
      </w:r>
      <w:proofErr w:type="spellEnd"/>
      <w:r w:rsidRPr="008C51A1">
        <w:rPr>
          <w:rFonts w:ascii="Book Antiqua" w:hAnsi="Book Antiqua"/>
          <w:color w:val="000000" w:themeColor="text1"/>
          <w:sz w:val="24"/>
          <w:szCs w:val="24"/>
        </w:rPr>
        <w:t xml:space="preserve"> dated October 5 2016, and Supreme Court Cassation Decision Number 624 K/Ag/2017 dated October 25, 2017, it can be concluded that the appellate court in examining and adjudicating cases of dispute over the execution of guarantees in </w:t>
      </w:r>
      <w:proofErr w:type="spellStart"/>
      <w:r w:rsidRPr="008C51A1">
        <w:rPr>
          <w:rFonts w:ascii="Book Antiqua" w:hAnsi="Book Antiqua"/>
          <w:color w:val="000000" w:themeColor="text1"/>
          <w:sz w:val="24"/>
          <w:szCs w:val="24"/>
        </w:rPr>
        <w:t>musyarakah</w:t>
      </w:r>
      <w:proofErr w:type="spellEnd"/>
      <w:r w:rsidRPr="008C51A1">
        <w:rPr>
          <w:rFonts w:ascii="Book Antiqua" w:hAnsi="Book Antiqua"/>
          <w:color w:val="000000" w:themeColor="text1"/>
          <w:sz w:val="24"/>
          <w:szCs w:val="24"/>
        </w:rPr>
        <w:t xml:space="preserve"> financing only applies legal norms as they are, namely making default as the only benchmark for negligence on the part of the </w:t>
      </w:r>
      <w:r w:rsidRPr="008C51A1">
        <w:rPr>
          <w:rFonts w:ascii="Book Antiqua" w:hAnsi="Book Antiqua"/>
          <w:color w:val="000000" w:themeColor="text1"/>
          <w:sz w:val="24"/>
          <w:szCs w:val="24"/>
        </w:rPr>
        <w:lastRenderedPageBreak/>
        <w:t xml:space="preserve">customer. Progressivity and systematic interpretation appeared to be carried out by first-degree judges and cassation judges who viewed the problems that arose as not just default issues in the form of default on the part of the customer, but touched on the essential aspect of negligence, namely seriously assessing the facts of the trial, namely the issue of who cause </w:t>
      </w:r>
      <w:proofErr w:type="spellStart"/>
      <w:r w:rsidRPr="008C51A1">
        <w:rPr>
          <w:rFonts w:ascii="Book Antiqua" w:hAnsi="Book Antiqua"/>
          <w:color w:val="000000" w:themeColor="text1"/>
          <w:sz w:val="24"/>
          <w:szCs w:val="24"/>
        </w:rPr>
        <w:t>musyarakah</w:t>
      </w:r>
      <w:proofErr w:type="spellEnd"/>
      <w:r w:rsidRPr="008C51A1">
        <w:rPr>
          <w:rFonts w:ascii="Book Antiqua" w:hAnsi="Book Antiqua"/>
          <w:color w:val="000000" w:themeColor="text1"/>
          <w:sz w:val="24"/>
          <w:szCs w:val="24"/>
        </w:rPr>
        <w:t xml:space="preserve"> losses.</w:t>
      </w:r>
    </w:p>
    <w:p w14:paraId="4E3509DA" w14:textId="77777777" w:rsidR="002C1BA2" w:rsidRDefault="002C1BA2" w:rsidP="002C1BA2">
      <w:pPr>
        <w:spacing w:line="360" w:lineRule="auto"/>
        <w:jc w:val="center"/>
        <w:rPr>
          <w:b/>
          <w:bCs/>
          <w:sz w:val="24"/>
          <w:szCs w:val="24"/>
        </w:rPr>
      </w:pPr>
    </w:p>
    <w:p w14:paraId="63C7D007" w14:textId="77777777" w:rsidR="002C1BA2" w:rsidRDefault="002C1BA2" w:rsidP="002C1BA2">
      <w:pPr>
        <w:spacing w:line="360" w:lineRule="auto"/>
        <w:jc w:val="center"/>
        <w:rPr>
          <w:b/>
          <w:bCs/>
          <w:sz w:val="24"/>
          <w:szCs w:val="24"/>
        </w:rPr>
      </w:pPr>
    </w:p>
    <w:p w14:paraId="7174391A" w14:textId="3024685D" w:rsidR="002C1BA2" w:rsidRDefault="002C1BA2" w:rsidP="002C1BA2">
      <w:pPr>
        <w:spacing w:line="360" w:lineRule="auto"/>
        <w:rPr>
          <w:b/>
          <w:bCs/>
          <w:sz w:val="24"/>
          <w:szCs w:val="24"/>
        </w:rPr>
      </w:pPr>
    </w:p>
    <w:p w14:paraId="7FC495AB" w14:textId="33AEB1D0" w:rsidR="002C1BA2" w:rsidRDefault="002C1BA2" w:rsidP="002C1BA2">
      <w:pPr>
        <w:spacing w:line="360" w:lineRule="auto"/>
        <w:rPr>
          <w:b/>
          <w:bCs/>
          <w:sz w:val="24"/>
          <w:szCs w:val="24"/>
        </w:rPr>
      </w:pPr>
    </w:p>
    <w:p w14:paraId="4FE85998" w14:textId="1FC1FEAD" w:rsidR="002C1BA2" w:rsidRDefault="002C1BA2" w:rsidP="002C1BA2">
      <w:pPr>
        <w:spacing w:line="360" w:lineRule="auto"/>
        <w:rPr>
          <w:b/>
          <w:bCs/>
          <w:sz w:val="24"/>
          <w:szCs w:val="24"/>
        </w:rPr>
      </w:pPr>
    </w:p>
    <w:p w14:paraId="7054003F" w14:textId="619A6313" w:rsidR="002C1BA2" w:rsidRDefault="002C1BA2" w:rsidP="002C1BA2">
      <w:pPr>
        <w:spacing w:line="360" w:lineRule="auto"/>
        <w:rPr>
          <w:b/>
          <w:bCs/>
          <w:sz w:val="24"/>
          <w:szCs w:val="24"/>
        </w:rPr>
      </w:pPr>
    </w:p>
    <w:p w14:paraId="7AD7C935" w14:textId="434EF961" w:rsidR="002C1BA2" w:rsidRDefault="002C1BA2" w:rsidP="002C1BA2">
      <w:pPr>
        <w:spacing w:line="360" w:lineRule="auto"/>
        <w:rPr>
          <w:b/>
          <w:bCs/>
          <w:sz w:val="24"/>
          <w:szCs w:val="24"/>
        </w:rPr>
      </w:pPr>
    </w:p>
    <w:p w14:paraId="47C1D348" w14:textId="71D35136" w:rsidR="002C1BA2" w:rsidRDefault="002C1BA2" w:rsidP="002C1BA2">
      <w:pPr>
        <w:spacing w:line="360" w:lineRule="auto"/>
        <w:rPr>
          <w:b/>
          <w:bCs/>
          <w:sz w:val="24"/>
          <w:szCs w:val="24"/>
        </w:rPr>
      </w:pPr>
    </w:p>
    <w:p w14:paraId="52DF7F93" w14:textId="632E0716" w:rsidR="002C1BA2" w:rsidRDefault="002C1BA2" w:rsidP="002C1BA2">
      <w:pPr>
        <w:spacing w:line="360" w:lineRule="auto"/>
        <w:rPr>
          <w:b/>
          <w:bCs/>
          <w:sz w:val="24"/>
          <w:szCs w:val="24"/>
        </w:rPr>
      </w:pPr>
    </w:p>
    <w:p w14:paraId="77D2CB47" w14:textId="6CCD5F65" w:rsidR="002C1BA2" w:rsidRDefault="002C1BA2" w:rsidP="002C1BA2">
      <w:pPr>
        <w:spacing w:line="360" w:lineRule="auto"/>
        <w:rPr>
          <w:b/>
          <w:bCs/>
          <w:sz w:val="24"/>
          <w:szCs w:val="24"/>
        </w:rPr>
      </w:pPr>
    </w:p>
    <w:p w14:paraId="1DD1A898" w14:textId="0F3D8F49" w:rsidR="002C1BA2" w:rsidRDefault="002C1BA2" w:rsidP="002C1BA2">
      <w:pPr>
        <w:spacing w:line="360" w:lineRule="auto"/>
        <w:rPr>
          <w:b/>
          <w:bCs/>
          <w:sz w:val="24"/>
          <w:szCs w:val="24"/>
        </w:rPr>
      </w:pPr>
    </w:p>
    <w:p w14:paraId="47AEA29C" w14:textId="11A11244" w:rsidR="002C1BA2" w:rsidRDefault="002C1BA2" w:rsidP="002C1BA2">
      <w:pPr>
        <w:spacing w:line="360" w:lineRule="auto"/>
        <w:rPr>
          <w:b/>
          <w:bCs/>
          <w:sz w:val="24"/>
          <w:szCs w:val="24"/>
        </w:rPr>
      </w:pPr>
    </w:p>
    <w:p w14:paraId="6B467B24" w14:textId="09EEF603" w:rsidR="002C1BA2" w:rsidRDefault="002C1BA2" w:rsidP="002C1BA2">
      <w:pPr>
        <w:spacing w:line="360" w:lineRule="auto"/>
        <w:rPr>
          <w:b/>
          <w:bCs/>
          <w:sz w:val="24"/>
          <w:szCs w:val="24"/>
        </w:rPr>
      </w:pPr>
    </w:p>
    <w:p w14:paraId="2F609427" w14:textId="27206573" w:rsidR="002C1BA2" w:rsidRDefault="002C1BA2" w:rsidP="002C1BA2">
      <w:pPr>
        <w:spacing w:line="360" w:lineRule="auto"/>
        <w:rPr>
          <w:b/>
          <w:bCs/>
          <w:sz w:val="24"/>
          <w:szCs w:val="24"/>
        </w:rPr>
      </w:pPr>
    </w:p>
    <w:p w14:paraId="20E0B8FB" w14:textId="6825449B" w:rsidR="002C1BA2" w:rsidRDefault="002C1BA2" w:rsidP="002C1BA2">
      <w:pPr>
        <w:spacing w:line="360" w:lineRule="auto"/>
        <w:rPr>
          <w:b/>
          <w:bCs/>
          <w:sz w:val="24"/>
          <w:szCs w:val="24"/>
        </w:rPr>
      </w:pPr>
    </w:p>
    <w:p w14:paraId="78C5DCD3" w14:textId="59B587C8" w:rsidR="002C1BA2" w:rsidRDefault="002C1BA2" w:rsidP="002C1BA2">
      <w:pPr>
        <w:spacing w:line="360" w:lineRule="auto"/>
        <w:rPr>
          <w:b/>
          <w:bCs/>
          <w:sz w:val="24"/>
          <w:szCs w:val="24"/>
        </w:rPr>
      </w:pPr>
    </w:p>
    <w:p w14:paraId="2426EAAF" w14:textId="04060C0D" w:rsidR="002C1BA2" w:rsidRDefault="002C1BA2" w:rsidP="002C1BA2">
      <w:pPr>
        <w:spacing w:line="360" w:lineRule="auto"/>
        <w:rPr>
          <w:b/>
          <w:bCs/>
          <w:sz w:val="24"/>
          <w:szCs w:val="24"/>
        </w:rPr>
      </w:pPr>
    </w:p>
    <w:p w14:paraId="77090558" w14:textId="301EEAC5" w:rsidR="002C1BA2" w:rsidRDefault="002C1BA2" w:rsidP="002C1BA2">
      <w:pPr>
        <w:spacing w:line="360" w:lineRule="auto"/>
        <w:rPr>
          <w:b/>
          <w:bCs/>
          <w:sz w:val="24"/>
          <w:szCs w:val="24"/>
        </w:rPr>
      </w:pPr>
    </w:p>
    <w:p w14:paraId="2D214D53" w14:textId="71A0471C" w:rsidR="002C1BA2" w:rsidRDefault="002C1BA2" w:rsidP="002C1BA2">
      <w:pPr>
        <w:spacing w:line="360" w:lineRule="auto"/>
        <w:rPr>
          <w:b/>
          <w:bCs/>
          <w:sz w:val="24"/>
          <w:szCs w:val="24"/>
        </w:rPr>
      </w:pPr>
    </w:p>
    <w:p w14:paraId="2CD4F4D5" w14:textId="00C16C5E" w:rsidR="002C1BA2" w:rsidRDefault="002C1BA2" w:rsidP="002C1BA2">
      <w:pPr>
        <w:spacing w:line="360" w:lineRule="auto"/>
        <w:rPr>
          <w:b/>
          <w:bCs/>
          <w:sz w:val="24"/>
          <w:szCs w:val="24"/>
        </w:rPr>
      </w:pPr>
    </w:p>
    <w:p w14:paraId="17671596" w14:textId="68B3E140" w:rsidR="002C1BA2" w:rsidRDefault="002C1BA2" w:rsidP="002C1BA2">
      <w:pPr>
        <w:spacing w:line="360" w:lineRule="auto"/>
        <w:rPr>
          <w:b/>
          <w:bCs/>
          <w:sz w:val="24"/>
          <w:szCs w:val="24"/>
        </w:rPr>
      </w:pPr>
    </w:p>
    <w:p w14:paraId="57D53DB6" w14:textId="2AAD4F07" w:rsidR="002C1BA2" w:rsidRDefault="002C1BA2" w:rsidP="002C1BA2">
      <w:pPr>
        <w:spacing w:line="360" w:lineRule="auto"/>
        <w:rPr>
          <w:b/>
          <w:bCs/>
          <w:sz w:val="24"/>
          <w:szCs w:val="24"/>
        </w:rPr>
      </w:pPr>
    </w:p>
    <w:p w14:paraId="55BD8633" w14:textId="62D23761" w:rsidR="002C1BA2" w:rsidRDefault="002C1BA2" w:rsidP="002C1BA2">
      <w:pPr>
        <w:spacing w:line="360" w:lineRule="auto"/>
        <w:rPr>
          <w:b/>
          <w:bCs/>
          <w:sz w:val="24"/>
          <w:szCs w:val="24"/>
        </w:rPr>
      </w:pPr>
    </w:p>
    <w:p w14:paraId="35A370CF" w14:textId="5A2B969B" w:rsidR="002C1BA2" w:rsidRDefault="002C1BA2" w:rsidP="002C1BA2">
      <w:pPr>
        <w:spacing w:line="360" w:lineRule="auto"/>
        <w:rPr>
          <w:b/>
          <w:bCs/>
          <w:sz w:val="24"/>
          <w:szCs w:val="24"/>
        </w:rPr>
      </w:pPr>
    </w:p>
    <w:p w14:paraId="553D973E" w14:textId="36E004AF" w:rsidR="002C1BA2" w:rsidRDefault="002C1BA2" w:rsidP="002C1BA2">
      <w:pPr>
        <w:spacing w:line="360" w:lineRule="auto"/>
        <w:rPr>
          <w:b/>
          <w:bCs/>
          <w:sz w:val="24"/>
          <w:szCs w:val="24"/>
        </w:rPr>
      </w:pPr>
    </w:p>
    <w:p w14:paraId="4B207B46" w14:textId="38261422" w:rsidR="002C1BA2" w:rsidRDefault="002C1BA2" w:rsidP="002C1BA2">
      <w:pPr>
        <w:spacing w:line="360" w:lineRule="auto"/>
        <w:rPr>
          <w:b/>
          <w:bCs/>
          <w:sz w:val="24"/>
          <w:szCs w:val="24"/>
        </w:rPr>
      </w:pPr>
    </w:p>
    <w:p w14:paraId="27DF1ED1" w14:textId="77777777" w:rsidR="002C1BA2" w:rsidRDefault="002C1BA2" w:rsidP="002C1BA2">
      <w:pPr>
        <w:spacing w:line="360" w:lineRule="auto"/>
        <w:rPr>
          <w:b/>
          <w:bCs/>
          <w:sz w:val="24"/>
          <w:szCs w:val="24"/>
        </w:rPr>
      </w:pPr>
    </w:p>
    <w:p w14:paraId="62250D55" w14:textId="12BF8406" w:rsidR="00B56D4F" w:rsidRPr="00B56D4F" w:rsidRDefault="00B56D4F" w:rsidP="00B56D4F">
      <w:pPr>
        <w:pStyle w:val="BodyText"/>
        <w:rPr>
          <w:rFonts w:ascii="Book Antiqua" w:hAnsi="Book Antiqua"/>
          <w:sz w:val="24"/>
          <w:szCs w:val="24"/>
        </w:rPr>
      </w:pPr>
    </w:p>
    <w:p w14:paraId="427D6632" w14:textId="05FC97FF" w:rsidR="00B56D4F" w:rsidRDefault="00B56D4F" w:rsidP="00B56D4F">
      <w:pPr>
        <w:pStyle w:val="Heading1"/>
        <w:rPr>
          <w:rFonts w:ascii="Book Antiqua" w:hAnsi="Book Antiqua"/>
          <w:sz w:val="24"/>
          <w:szCs w:val="24"/>
          <w:lang w:val="id-ID"/>
        </w:rPr>
      </w:pPr>
      <w:r w:rsidRPr="00B56D4F">
        <w:rPr>
          <w:rFonts w:ascii="Book Antiqua" w:hAnsi="Book Antiqua"/>
          <w:sz w:val="24"/>
          <w:szCs w:val="24"/>
          <w:lang w:val="id-ID"/>
        </w:rPr>
        <w:t xml:space="preserve">Refrences </w:t>
      </w:r>
    </w:p>
    <w:p w14:paraId="465FCA22" w14:textId="63DA528A" w:rsidR="00A22D3E" w:rsidRDefault="00A22D3E" w:rsidP="00A22D3E">
      <w:pPr>
        <w:rPr>
          <w:lang w:val="id-ID"/>
        </w:rPr>
      </w:pPr>
    </w:p>
    <w:p w14:paraId="29E2E024" w14:textId="77777777" w:rsidR="00A22D3E" w:rsidRPr="00A22D3E" w:rsidRDefault="00A22D3E" w:rsidP="00A22D3E">
      <w:pPr>
        <w:widowControl w:val="0"/>
        <w:autoSpaceDE w:val="0"/>
        <w:autoSpaceDN w:val="0"/>
        <w:adjustRightInd w:val="0"/>
        <w:spacing w:line="360" w:lineRule="auto"/>
        <w:ind w:left="480" w:hanging="480"/>
        <w:jc w:val="both"/>
        <w:rPr>
          <w:rFonts w:ascii="Book Antiqua" w:hAnsi="Book Antiqua"/>
          <w:noProof/>
          <w:sz w:val="24"/>
          <w:szCs w:val="24"/>
        </w:rPr>
      </w:pPr>
      <w:r w:rsidRPr="00A22D3E">
        <w:rPr>
          <w:rFonts w:ascii="Book Antiqua" w:hAnsi="Book Antiqua"/>
          <w:b/>
          <w:bCs/>
          <w:sz w:val="24"/>
          <w:szCs w:val="24"/>
        </w:rPr>
        <w:fldChar w:fldCharType="begin" w:fldLock="1"/>
      </w:r>
      <w:r w:rsidRPr="00A22D3E">
        <w:rPr>
          <w:rFonts w:ascii="Book Antiqua" w:hAnsi="Book Antiqua"/>
          <w:b/>
          <w:bCs/>
          <w:sz w:val="24"/>
          <w:szCs w:val="24"/>
        </w:rPr>
        <w:instrText xml:space="preserve">ADDIN Mendeley Bibliography CSL_BIBLIOGRAPHY </w:instrText>
      </w:r>
      <w:r w:rsidRPr="00A22D3E">
        <w:rPr>
          <w:rFonts w:ascii="Book Antiqua" w:hAnsi="Book Antiqua"/>
          <w:b/>
          <w:bCs/>
          <w:sz w:val="24"/>
          <w:szCs w:val="24"/>
        </w:rPr>
        <w:fldChar w:fldCharType="separate"/>
      </w:r>
      <w:r w:rsidRPr="00A22D3E">
        <w:rPr>
          <w:rFonts w:ascii="Book Antiqua" w:hAnsi="Book Antiqua"/>
          <w:noProof/>
          <w:sz w:val="24"/>
          <w:szCs w:val="24"/>
        </w:rPr>
        <w:t xml:space="preserve">Abu Daud. (2014). </w:t>
      </w:r>
      <w:r w:rsidRPr="00A22D3E">
        <w:rPr>
          <w:rFonts w:ascii="Book Antiqua" w:hAnsi="Book Antiqua"/>
          <w:i/>
          <w:iCs/>
          <w:noProof/>
          <w:sz w:val="24"/>
          <w:szCs w:val="24"/>
        </w:rPr>
        <w:t>Sunan Abu Daud</w:t>
      </w:r>
      <w:r w:rsidRPr="00A22D3E">
        <w:rPr>
          <w:rFonts w:ascii="Book Antiqua" w:hAnsi="Book Antiqua"/>
          <w:noProof/>
          <w:sz w:val="24"/>
          <w:szCs w:val="24"/>
        </w:rPr>
        <w:t xml:space="preserve"> (A.-M. Al-Ashriyyah (Ed.)).</w:t>
      </w:r>
    </w:p>
    <w:p w14:paraId="7FBD892F" w14:textId="77777777" w:rsidR="00A22D3E" w:rsidRPr="00A22D3E" w:rsidRDefault="00A22D3E" w:rsidP="00A22D3E">
      <w:pPr>
        <w:widowControl w:val="0"/>
        <w:autoSpaceDE w:val="0"/>
        <w:autoSpaceDN w:val="0"/>
        <w:adjustRightInd w:val="0"/>
        <w:spacing w:line="360" w:lineRule="auto"/>
        <w:ind w:left="480" w:hanging="480"/>
        <w:jc w:val="both"/>
        <w:rPr>
          <w:rFonts w:ascii="Book Antiqua" w:hAnsi="Book Antiqua"/>
          <w:noProof/>
          <w:sz w:val="24"/>
          <w:szCs w:val="24"/>
        </w:rPr>
      </w:pPr>
      <w:r w:rsidRPr="00A22D3E">
        <w:rPr>
          <w:rFonts w:ascii="Book Antiqua" w:hAnsi="Book Antiqua"/>
          <w:noProof/>
          <w:sz w:val="24"/>
          <w:szCs w:val="24"/>
        </w:rPr>
        <w:t xml:space="preserve">Al-Baji. (2009). </w:t>
      </w:r>
      <w:r w:rsidRPr="00A22D3E">
        <w:rPr>
          <w:rFonts w:ascii="Book Antiqua" w:hAnsi="Book Antiqua"/>
          <w:i/>
          <w:iCs/>
          <w:noProof/>
          <w:sz w:val="24"/>
          <w:szCs w:val="24"/>
        </w:rPr>
        <w:t>al-Muntaqo syarh al-Muwattho’</w:t>
      </w:r>
      <w:r w:rsidRPr="00A22D3E">
        <w:rPr>
          <w:rFonts w:ascii="Book Antiqua" w:hAnsi="Book Antiqua"/>
          <w:noProof/>
          <w:sz w:val="24"/>
          <w:szCs w:val="24"/>
        </w:rPr>
        <w:t>. Darul Kutub al-Ilmiyyah.</w:t>
      </w:r>
    </w:p>
    <w:p w14:paraId="2544D48D" w14:textId="77777777" w:rsidR="00A22D3E" w:rsidRPr="00A22D3E" w:rsidRDefault="00A22D3E" w:rsidP="00A22D3E">
      <w:pPr>
        <w:widowControl w:val="0"/>
        <w:autoSpaceDE w:val="0"/>
        <w:autoSpaceDN w:val="0"/>
        <w:adjustRightInd w:val="0"/>
        <w:spacing w:line="360" w:lineRule="auto"/>
        <w:ind w:left="480" w:hanging="480"/>
        <w:jc w:val="both"/>
        <w:rPr>
          <w:rFonts w:ascii="Book Antiqua" w:hAnsi="Book Antiqua"/>
          <w:noProof/>
          <w:sz w:val="24"/>
          <w:szCs w:val="24"/>
        </w:rPr>
      </w:pPr>
      <w:r w:rsidRPr="00A22D3E">
        <w:rPr>
          <w:rFonts w:ascii="Book Antiqua" w:hAnsi="Book Antiqua"/>
          <w:noProof/>
          <w:sz w:val="24"/>
          <w:szCs w:val="24"/>
        </w:rPr>
        <w:t xml:space="preserve">Ali, Z. (2021). </w:t>
      </w:r>
      <w:r w:rsidRPr="00A22D3E">
        <w:rPr>
          <w:rFonts w:ascii="Book Antiqua" w:hAnsi="Book Antiqua"/>
          <w:i/>
          <w:iCs/>
          <w:noProof/>
          <w:sz w:val="24"/>
          <w:szCs w:val="24"/>
        </w:rPr>
        <w:t>Metode Penelitian Hukum</w:t>
      </w:r>
      <w:r w:rsidRPr="00A22D3E">
        <w:rPr>
          <w:rFonts w:ascii="Book Antiqua" w:hAnsi="Book Antiqua"/>
          <w:noProof/>
          <w:sz w:val="24"/>
          <w:szCs w:val="24"/>
        </w:rPr>
        <w:t>. Sinar Grafika. https://books.google.co.id/books?id=y%5C_QrEAAAQBAJ</w:t>
      </w:r>
    </w:p>
    <w:p w14:paraId="5C9ADE18" w14:textId="77777777" w:rsidR="00A22D3E" w:rsidRPr="00A22D3E" w:rsidRDefault="00A22D3E" w:rsidP="00A22D3E">
      <w:pPr>
        <w:widowControl w:val="0"/>
        <w:autoSpaceDE w:val="0"/>
        <w:autoSpaceDN w:val="0"/>
        <w:adjustRightInd w:val="0"/>
        <w:spacing w:line="360" w:lineRule="auto"/>
        <w:ind w:left="480" w:hanging="480"/>
        <w:jc w:val="both"/>
        <w:rPr>
          <w:rFonts w:ascii="Book Antiqua" w:hAnsi="Book Antiqua"/>
          <w:noProof/>
          <w:sz w:val="24"/>
          <w:szCs w:val="24"/>
        </w:rPr>
      </w:pPr>
      <w:r w:rsidRPr="00A22D3E">
        <w:rPr>
          <w:rFonts w:ascii="Book Antiqua" w:hAnsi="Book Antiqua"/>
          <w:noProof/>
          <w:sz w:val="24"/>
          <w:szCs w:val="24"/>
        </w:rPr>
        <w:t>Arief, A. S. (2004). Al-Mu</w:t>
      </w:r>
      <w:r w:rsidRPr="00A22D3E">
        <w:rPr>
          <w:rFonts w:ascii="Cambria" w:hAnsi="Cambria" w:cs="Cambria"/>
          <w:noProof/>
          <w:sz w:val="24"/>
          <w:szCs w:val="24"/>
        </w:rPr>
        <w:t>ḍ</w:t>
      </w:r>
      <w:r w:rsidRPr="00A22D3E">
        <w:rPr>
          <w:rFonts w:ascii="Book Antiqua" w:hAnsi="Book Antiqua"/>
          <w:noProof/>
          <w:sz w:val="24"/>
          <w:szCs w:val="24"/>
        </w:rPr>
        <w:t>ārabah Min Wujhat Na</w:t>
      </w:r>
      <w:r w:rsidRPr="00A22D3E">
        <w:rPr>
          <w:rFonts w:ascii="Cambria" w:hAnsi="Cambria" w:cs="Cambria"/>
          <w:noProof/>
          <w:sz w:val="24"/>
          <w:szCs w:val="24"/>
        </w:rPr>
        <w:t>ẓ</w:t>
      </w:r>
      <w:r w:rsidRPr="00A22D3E">
        <w:rPr>
          <w:rFonts w:ascii="Book Antiqua" w:hAnsi="Book Antiqua"/>
          <w:noProof/>
          <w:sz w:val="24"/>
          <w:szCs w:val="24"/>
        </w:rPr>
        <w:t xml:space="preserve">r al-fiqh wa-Tajribat Bank al-Syarī’ah. </w:t>
      </w:r>
      <w:r w:rsidRPr="00A22D3E">
        <w:rPr>
          <w:rFonts w:ascii="Book Antiqua" w:hAnsi="Book Antiqua"/>
          <w:i/>
          <w:iCs/>
          <w:noProof/>
          <w:sz w:val="24"/>
          <w:szCs w:val="24"/>
        </w:rPr>
        <w:t>Al-Jami’ah: Journal of Islamic Studies</w:t>
      </w:r>
      <w:r w:rsidRPr="00A22D3E">
        <w:rPr>
          <w:rFonts w:ascii="Book Antiqua" w:hAnsi="Book Antiqua"/>
          <w:noProof/>
          <w:sz w:val="24"/>
          <w:szCs w:val="24"/>
        </w:rPr>
        <w:t xml:space="preserve">, </w:t>
      </w:r>
      <w:r w:rsidRPr="00A22D3E">
        <w:rPr>
          <w:rFonts w:ascii="Book Antiqua" w:hAnsi="Book Antiqua"/>
          <w:i/>
          <w:iCs/>
          <w:noProof/>
          <w:sz w:val="24"/>
          <w:szCs w:val="24"/>
        </w:rPr>
        <w:t>42</w:t>
      </w:r>
      <w:r w:rsidRPr="00A22D3E">
        <w:rPr>
          <w:rFonts w:ascii="Book Antiqua" w:hAnsi="Book Antiqua"/>
          <w:noProof/>
          <w:sz w:val="24"/>
          <w:szCs w:val="24"/>
        </w:rPr>
        <w:t>(2), 411–427. https://doi.org/10.14421/ajis.2004.422.411-427</w:t>
      </w:r>
    </w:p>
    <w:p w14:paraId="3C471363" w14:textId="77777777" w:rsidR="00A22D3E" w:rsidRPr="00A22D3E" w:rsidRDefault="00A22D3E" w:rsidP="00A22D3E">
      <w:pPr>
        <w:widowControl w:val="0"/>
        <w:autoSpaceDE w:val="0"/>
        <w:autoSpaceDN w:val="0"/>
        <w:adjustRightInd w:val="0"/>
        <w:spacing w:line="360" w:lineRule="auto"/>
        <w:ind w:left="480" w:hanging="480"/>
        <w:jc w:val="both"/>
        <w:rPr>
          <w:rFonts w:ascii="Book Antiqua" w:hAnsi="Book Antiqua"/>
          <w:noProof/>
          <w:sz w:val="24"/>
          <w:szCs w:val="24"/>
        </w:rPr>
      </w:pPr>
      <w:r w:rsidRPr="00A22D3E">
        <w:rPr>
          <w:rFonts w:ascii="Book Antiqua" w:hAnsi="Book Antiqua"/>
          <w:noProof/>
          <w:sz w:val="24"/>
          <w:szCs w:val="24"/>
        </w:rPr>
        <w:t xml:space="preserve">Aristoteles. (2013). </w:t>
      </w:r>
      <w:r w:rsidRPr="00A22D3E">
        <w:rPr>
          <w:rFonts w:ascii="Book Antiqua" w:hAnsi="Book Antiqua"/>
          <w:i/>
          <w:iCs/>
          <w:noProof/>
          <w:sz w:val="24"/>
          <w:szCs w:val="24"/>
        </w:rPr>
        <w:t>Ethika Nikomacheia, Edisi Jerman, Buku II</w:t>
      </w:r>
      <w:r w:rsidRPr="00A22D3E">
        <w:rPr>
          <w:rFonts w:ascii="Book Antiqua" w:hAnsi="Book Antiqua"/>
          <w:noProof/>
          <w:sz w:val="24"/>
          <w:szCs w:val="24"/>
        </w:rPr>
        <w:t>. Stuuttgart/Philip Reclam.</w:t>
      </w:r>
    </w:p>
    <w:p w14:paraId="0DBFA08C" w14:textId="77777777" w:rsidR="00A22D3E" w:rsidRPr="00A22D3E" w:rsidRDefault="00A22D3E" w:rsidP="00A22D3E">
      <w:pPr>
        <w:widowControl w:val="0"/>
        <w:autoSpaceDE w:val="0"/>
        <w:autoSpaceDN w:val="0"/>
        <w:adjustRightInd w:val="0"/>
        <w:spacing w:line="360" w:lineRule="auto"/>
        <w:ind w:left="480" w:hanging="480"/>
        <w:jc w:val="both"/>
        <w:rPr>
          <w:rFonts w:ascii="Book Antiqua" w:hAnsi="Book Antiqua"/>
          <w:noProof/>
          <w:sz w:val="24"/>
          <w:szCs w:val="24"/>
        </w:rPr>
      </w:pPr>
      <w:r w:rsidRPr="00A22D3E">
        <w:rPr>
          <w:rFonts w:ascii="Book Antiqua" w:hAnsi="Book Antiqua"/>
          <w:noProof/>
          <w:sz w:val="24"/>
          <w:szCs w:val="24"/>
        </w:rPr>
        <w:t xml:space="preserve">As-Sarkhosi. (2016). </w:t>
      </w:r>
      <w:r w:rsidRPr="00A22D3E">
        <w:rPr>
          <w:rFonts w:ascii="Book Antiqua" w:hAnsi="Book Antiqua"/>
          <w:i/>
          <w:iCs/>
          <w:noProof/>
          <w:sz w:val="24"/>
          <w:szCs w:val="24"/>
        </w:rPr>
        <w:t>al-Mabsuth</w:t>
      </w:r>
      <w:r w:rsidRPr="00A22D3E">
        <w:rPr>
          <w:rFonts w:ascii="Book Antiqua" w:hAnsi="Book Antiqua"/>
          <w:noProof/>
          <w:sz w:val="24"/>
          <w:szCs w:val="24"/>
        </w:rPr>
        <w:t>. Darul Kutub al-Ilmiyyah.</w:t>
      </w:r>
    </w:p>
    <w:p w14:paraId="0B7EDDB3" w14:textId="77777777" w:rsidR="00A22D3E" w:rsidRPr="00A22D3E" w:rsidRDefault="00A22D3E" w:rsidP="00A22D3E">
      <w:pPr>
        <w:widowControl w:val="0"/>
        <w:autoSpaceDE w:val="0"/>
        <w:autoSpaceDN w:val="0"/>
        <w:adjustRightInd w:val="0"/>
        <w:spacing w:line="360" w:lineRule="auto"/>
        <w:ind w:left="480" w:hanging="480"/>
        <w:jc w:val="both"/>
        <w:rPr>
          <w:rFonts w:ascii="Book Antiqua" w:hAnsi="Book Antiqua"/>
          <w:noProof/>
          <w:sz w:val="24"/>
          <w:szCs w:val="24"/>
        </w:rPr>
      </w:pPr>
      <w:r w:rsidRPr="00A22D3E">
        <w:rPr>
          <w:rFonts w:ascii="Book Antiqua" w:hAnsi="Book Antiqua"/>
          <w:noProof/>
          <w:sz w:val="24"/>
          <w:szCs w:val="24"/>
        </w:rPr>
        <w:t xml:space="preserve">asy-Syatibi. (1988). </w:t>
      </w:r>
      <w:r w:rsidRPr="00A22D3E">
        <w:rPr>
          <w:rFonts w:ascii="Book Antiqua" w:hAnsi="Book Antiqua"/>
          <w:i/>
          <w:iCs/>
          <w:noProof/>
          <w:sz w:val="24"/>
          <w:szCs w:val="24"/>
        </w:rPr>
        <w:t>al-I’tishom</w:t>
      </w:r>
      <w:r w:rsidRPr="00A22D3E">
        <w:rPr>
          <w:rFonts w:ascii="Book Antiqua" w:hAnsi="Book Antiqua"/>
          <w:noProof/>
          <w:sz w:val="24"/>
          <w:szCs w:val="24"/>
        </w:rPr>
        <w:t>. Darul Kutub al-Ilmiyyah.</w:t>
      </w:r>
    </w:p>
    <w:p w14:paraId="1D0BD068" w14:textId="77777777" w:rsidR="00A22D3E" w:rsidRPr="00A22D3E" w:rsidRDefault="00A22D3E" w:rsidP="00A22D3E">
      <w:pPr>
        <w:widowControl w:val="0"/>
        <w:autoSpaceDE w:val="0"/>
        <w:autoSpaceDN w:val="0"/>
        <w:adjustRightInd w:val="0"/>
        <w:spacing w:line="360" w:lineRule="auto"/>
        <w:ind w:left="480" w:hanging="480"/>
        <w:jc w:val="both"/>
        <w:rPr>
          <w:rFonts w:ascii="Book Antiqua" w:hAnsi="Book Antiqua"/>
          <w:noProof/>
          <w:sz w:val="24"/>
          <w:szCs w:val="24"/>
        </w:rPr>
      </w:pPr>
      <w:r w:rsidRPr="00A22D3E">
        <w:rPr>
          <w:rFonts w:ascii="Book Antiqua" w:hAnsi="Book Antiqua"/>
          <w:noProof/>
          <w:sz w:val="24"/>
          <w:szCs w:val="24"/>
        </w:rPr>
        <w:t xml:space="preserve">Asy-Syaukani. (1991). </w:t>
      </w:r>
      <w:r w:rsidRPr="00A22D3E">
        <w:rPr>
          <w:rFonts w:ascii="Book Antiqua" w:hAnsi="Book Antiqua"/>
          <w:i/>
          <w:iCs/>
          <w:noProof/>
          <w:sz w:val="24"/>
          <w:szCs w:val="24"/>
        </w:rPr>
        <w:t>as-sailul jarror</w:t>
      </w:r>
      <w:r w:rsidRPr="00A22D3E">
        <w:rPr>
          <w:rFonts w:ascii="Book Antiqua" w:hAnsi="Book Antiqua"/>
          <w:noProof/>
          <w:sz w:val="24"/>
          <w:szCs w:val="24"/>
        </w:rPr>
        <w:t>. Darul Kutub al-Ilmiyyah.</w:t>
      </w:r>
    </w:p>
    <w:p w14:paraId="6946D7FB" w14:textId="77777777" w:rsidR="00A22D3E" w:rsidRPr="00A22D3E" w:rsidRDefault="00A22D3E" w:rsidP="00A22D3E">
      <w:pPr>
        <w:widowControl w:val="0"/>
        <w:autoSpaceDE w:val="0"/>
        <w:autoSpaceDN w:val="0"/>
        <w:adjustRightInd w:val="0"/>
        <w:spacing w:line="360" w:lineRule="auto"/>
        <w:ind w:left="480" w:hanging="480"/>
        <w:jc w:val="both"/>
        <w:rPr>
          <w:rFonts w:ascii="Book Antiqua" w:hAnsi="Book Antiqua"/>
          <w:noProof/>
          <w:sz w:val="24"/>
          <w:szCs w:val="24"/>
        </w:rPr>
      </w:pPr>
      <w:r w:rsidRPr="00A22D3E">
        <w:rPr>
          <w:rFonts w:ascii="Book Antiqua" w:hAnsi="Book Antiqua"/>
          <w:noProof/>
          <w:sz w:val="24"/>
          <w:szCs w:val="24"/>
        </w:rPr>
        <w:t xml:space="preserve">Diantha, I. M. P. (2016). </w:t>
      </w:r>
      <w:r w:rsidRPr="00A22D3E">
        <w:rPr>
          <w:rFonts w:ascii="Book Antiqua" w:hAnsi="Book Antiqua"/>
          <w:i/>
          <w:iCs/>
          <w:noProof/>
          <w:sz w:val="24"/>
          <w:szCs w:val="24"/>
        </w:rPr>
        <w:t>Metodologi Penelitian Hukum Normatif dalam Justifikasi Teori Hukum</w:t>
      </w:r>
      <w:r w:rsidRPr="00A22D3E">
        <w:rPr>
          <w:rFonts w:ascii="Book Antiqua" w:hAnsi="Book Antiqua"/>
          <w:noProof/>
          <w:sz w:val="24"/>
          <w:szCs w:val="24"/>
        </w:rPr>
        <w:t>. Prenada Media. https://books.google.co.id/books?id=-MpADwAAQBAJ</w:t>
      </w:r>
    </w:p>
    <w:p w14:paraId="5DD8ACD8" w14:textId="77777777" w:rsidR="00A22D3E" w:rsidRPr="00A22D3E" w:rsidRDefault="00A22D3E" w:rsidP="00A22D3E">
      <w:pPr>
        <w:widowControl w:val="0"/>
        <w:autoSpaceDE w:val="0"/>
        <w:autoSpaceDN w:val="0"/>
        <w:adjustRightInd w:val="0"/>
        <w:spacing w:line="360" w:lineRule="auto"/>
        <w:ind w:left="480" w:hanging="480"/>
        <w:jc w:val="both"/>
        <w:rPr>
          <w:rFonts w:ascii="Book Antiqua" w:hAnsi="Book Antiqua"/>
          <w:noProof/>
          <w:sz w:val="24"/>
          <w:szCs w:val="24"/>
        </w:rPr>
      </w:pPr>
      <w:r w:rsidRPr="00A22D3E">
        <w:rPr>
          <w:rFonts w:ascii="Book Antiqua" w:hAnsi="Book Antiqua"/>
          <w:noProof/>
          <w:sz w:val="24"/>
          <w:szCs w:val="24"/>
        </w:rPr>
        <w:t xml:space="preserve">Dr. Jonaedi Efendi, S. H. I. M. H., &amp; Prof. Dr. Johnny Ibrahim, S. H. S. E. M. M. M. H. (2018). </w:t>
      </w:r>
      <w:r w:rsidRPr="00A22D3E">
        <w:rPr>
          <w:rFonts w:ascii="Book Antiqua" w:hAnsi="Book Antiqua"/>
          <w:i/>
          <w:iCs/>
          <w:noProof/>
          <w:sz w:val="24"/>
          <w:szCs w:val="24"/>
        </w:rPr>
        <w:t>Metode Penelitian Hukum: Normatif dan Empiris</w:t>
      </w:r>
      <w:r w:rsidRPr="00A22D3E">
        <w:rPr>
          <w:rFonts w:ascii="Book Antiqua" w:hAnsi="Book Antiqua"/>
          <w:noProof/>
          <w:sz w:val="24"/>
          <w:szCs w:val="24"/>
        </w:rPr>
        <w:t>. Prenada Media. https://books.google.co.id/books?id=5OZeDwAAQBAJ</w:t>
      </w:r>
    </w:p>
    <w:p w14:paraId="5C6BD38D" w14:textId="77777777" w:rsidR="00A22D3E" w:rsidRPr="00A22D3E" w:rsidRDefault="00A22D3E" w:rsidP="00A22D3E">
      <w:pPr>
        <w:widowControl w:val="0"/>
        <w:autoSpaceDE w:val="0"/>
        <w:autoSpaceDN w:val="0"/>
        <w:adjustRightInd w:val="0"/>
        <w:spacing w:line="360" w:lineRule="auto"/>
        <w:ind w:left="480" w:hanging="480"/>
        <w:jc w:val="both"/>
        <w:rPr>
          <w:rFonts w:ascii="Book Antiqua" w:hAnsi="Book Antiqua"/>
          <w:noProof/>
          <w:sz w:val="24"/>
          <w:szCs w:val="24"/>
        </w:rPr>
      </w:pPr>
      <w:r w:rsidRPr="00A22D3E">
        <w:rPr>
          <w:rFonts w:ascii="Book Antiqua" w:hAnsi="Book Antiqua"/>
          <w:noProof/>
          <w:sz w:val="24"/>
          <w:szCs w:val="24"/>
        </w:rPr>
        <w:t xml:space="preserve">Ibnu Abdil Barr. (2002). </w:t>
      </w:r>
      <w:r w:rsidRPr="00A22D3E">
        <w:rPr>
          <w:rFonts w:ascii="Book Antiqua" w:hAnsi="Book Antiqua"/>
          <w:i/>
          <w:iCs/>
          <w:noProof/>
          <w:sz w:val="24"/>
          <w:szCs w:val="24"/>
        </w:rPr>
        <w:t>al Kafi</w:t>
      </w:r>
      <w:r w:rsidRPr="00A22D3E">
        <w:rPr>
          <w:rFonts w:ascii="Book Antiqua" w:hAnsi="Book Antiqua"/>
          <w:noProof/>
          <w:sz w:val="24"/>
          <w:szCs w:val="24"/>
        </w:rPr>
        <w:t>. Darul Kutub al-Ilmiyyah.</w:t>
      </w:r>
    </w:p>
    <w:p w14:paraId="2F9FB672" w14:textId="77777777" w:rsidR="00A22D3E" w:rsidRPr="00A22D3E" w:rsidRDefault="00A22D3E" w:rsidP="00A22D3E">
      <w:pPr>
        <w:widowControl w:val="0"/>
        <w:autoSpaceDE w:val="0"/>
        <w:autoSpaceDN w:val="0"/>
        <w:adjustRightInd w:val="0"/>
        <w:spacing w:line="360" w:lineRule="auto"/>
        <w:ind w:left="480" w:hanging="480"/>
        <w:jc w:val="both"/>
        <w:rPr>
          <w:rFonts w:ascii="Book Antiqua" w:hAnsi="Book Antiqua"/>
          <w:noProof/>
          <w:sz w:val="24"/>
          <w:szCs w:val="24"/>
        </w:rPr>
      </w:pPr>
      <w:r w:rsidRPr="00A22D3E">
        <w:rPr>
          <w:rFonts w:ascii="Book Antiqua" w:hAnsi="Book Antiqua"/>
          <w:noProof/>
          <w:sz w:val="24"/>
          <w:szCs w:val="24"/>
        </w:rPr>
        <w:t xml:space="preserve">Ibnu Nujaim. (2013). </w:t>
      </w:r>
      <w:r w:rsidRPr="00A22D3E">
        <w:rPr>
          <w:rFonts w:ascii="Book Antiqua" w:hAnsi="Book Antiqua"/>
          <w:i/>
          <w:iCs/>
          <w:noProof/>
          <w:sz w:val="24"/>
          <w:szCs w:val="24"/>
        </w:rPr>
        <w:t>al-Bahrur Raiq</w:t>
      </w:r>
      <w:r w:rsidRPr="00A22D3E">
        <w:rPr>
          <w:rFonts w:ascii="Book Antiqua" w:hAnsi="Book Antiqua"/>
          <w:noProof/>
          <w:sz w:val="24"/>
          <w:szCs w:val="24"/>
        </w:rPr>
        <w:t>. Darul Kutub al-Ilmiyyah.</w:t>
      </w:r>
    </w:p>
    <w:p w14:paraId="1D26EE4F" w14:textId="77777777" w:rsidR="00A22D3E" w:rsidRPr="00A22D3E" w:rsidRDefault="00A22D3E" w:rsidP="00A22D3E">
      <w:pPr>
        <w:widowControl w:val="0"/>
        <w:autoSpaceDE w:val="0"/>
        <w:autoSpaceDN w:val="0"/>
        <w:adjustRightInd w:val="0"/>
        <w:spacing w:line="360" w:lineRule="auto"/>
        <w:ind w:left="480" w:hanging="480"/>
        <w:jc w:val="both"/>
        <w:rPr>
          <w:rFonts w:ascii="Book Antiqua" w:hAnsi="Book Antiqua"/>
          <w:noProof/>
          <w:sz w:val="24"/>
          <w:szCs w:val="24"/>
        </w:rPr>
      </w:pPr>
      <w:r w:rsidRPr="00A22D3E">
        <w:rPr>
          <w:rFonts w:ascii="Book Antiqua" w:hAnsi="Book Antiqua"/>
          <w:noProof/>
          <w:sz w:val="24"/>
          <w:szCs w:val="24"/>
        </w:rPr>
        <w:t xml:space="preserve">Ibnu Rusyd. (2014). </w:t>
      </w:r>
      <w:r w:rsidRPr="00A22D3E">
        <w:rPr>
          <w:rFonts w:ascii="Book Antiqua" w:hAnsi="Book Antiqua"/>
          <w:i/>
          <w:iCs/>
          <w:noProof/>
          <w:sz w:val="24"/>
          <w:szCs w:val="24"/>
        </w:rPr>
        <w:t>al-muqoddimat al-mumahhidat</w:t>
      </w:r>
      <w:r w:rsidRPr="00A22D3E">
        <w:rPr>
          <w:rFonts w:ascii="Book Antiqua" w:hAnsi="Book Antiqua"/>
          <w:noProof/>
          <w:sz w:val="24"/>
          <w:szCs w:val="24"/>
        </w:rPr>
        <w:t>. Darul Ghorbi al-Islami.</w:t>
      </w:r>
    </w:p>
    <w:p w14:paraId="79911DB2" w14:textId="77777777" w:rsidR="00A22D3E" w:rsidRPr="00A22D3E" w:rsidRDefault="00A22D3E" w:rsidP="00A22D3E">
      <w:pPr>
        <w:widowControl w:val="0"/>
        <w:autoSpaceDE w:val="0"/>
        <w:autoSpaceDN w:val="0"/>
        <w:adjustRightInd w:val="0"/>
        <w:spacing w:line="360" w:lineRule="auto"/>
        <w:ind w:left="480" w:hanging="480"/>
        <w:jc w:val="both"/>
        <w:rPr>
          <w:rFonts w:ascii="Book Antiqua" w:hAnsi="Book Antiqua"/>
          <w:noProof/>
          <w:sz w:val="24"/>
          <w:szCs w:val="24"/>
        </w:rPr>
      </w:pPr>
      <w:r w:rsidRPr="00A22D3E">
        <w:rPr>
          <w:rFonts w:ascii="Book Antiqua" w:hAnsi="Book Antiqua"/>
          <w:noProof/>
          <w:sz w:val="24"/>
          <w:szCs w:val="24"/>
        </w:rPr>
        <w:t xml:space="preserve">Ibnu Rusyd. (2018). </w:t>
      </w:r>
      <w:r w:rsidRPr="00A22D3E">
        <w:rPr>
          <w:rFonts w:ascii="Book Antiqua" w:hAnsi="Book Antiqua"/>
          <w:i/>
          <w:iCs/>
          <w:noProof/>
          <w:sz w:val="24"/>
          <w:szCs w:val="24"/>
        </w:rPr>
        <w:t>Bidayatul Mujtahid</w:t>
      </w:r>
      <w:r w:rsidRPr="00A22D3E">
        <w:rPr>
          <w:rFonts w:ascii="Book Antiqua" w:hAnsi="Book Antiqua"/>
          <w:noProof/>
          <w:sz w:val="24"/>
          <w:szCs w:val="24"/>
        </w:rPr>
        <w:t>. Darul Kutub al-Ilmiyyah.</w:t>
      </w:r>
    </w:p>
    <w:p w14:paraId="4F2D1D11" w14:textId="77777777" w:rsidR="00A22D3E" w:rsidRPr="00A22D3E" w:rsidRDefault="00A22D3E" w:rsidP="00A22D3E">
      <w:pPr>
        <w:widowControl w:val="0"/>
        <w:autoSpaceDE w:val="0"/>
        <w:autoSpaceDN w:val="0"/>
        <w:adjustRightInd w:val="0"/>
        <w:spacing w:line="360" w:lineRule="auto"/>
        <w:ind w:left="480" w:hanging="480"/>
        <w:jc w:val="both"/>
        <w:rPr>
          <w:rFonts w:ascii="Book Antiqua" w:hAnsi="Book Antiqua"/>
          <w:noProof/>
          <w:sz w:val="24"/>
          <w:szCs w:val="24"/>
        </w:rPr>
      </w:pPr>
      <w:r w:rsidRPr="00A22D3E">
        <w:rPr>
          <w:rFonts w:ascii="Book Antiqua" w:hAnsi="Book Antiqua"/>
          <w:noProof/>
          <w:sz w:val="24"/>
          <w:szCs w:val="24"/>
        </w:rPr>
        <w:t xml:space="preserve">John Rawls. (1973). </w:t>
      </w:r>
      <w:r w:rsidRPr="00A22D3E">
        <w:rPr>
          <w:rFonts w:ascii="Book Antiqua" w:hAnsi="Book Antiqua"/>
          <w:i/>
          <w:iCs/>
          <w:noProof/>
          <w:sz w:val="24"/>
          <w:szCs w:val="24"/>
        </w:rPr>
        <w:t>A Theory of Juctice</w:t>
      </w:r>
      <w:r w:rsidRPr="00A22D3E">
        <w:rPr>
          <w:rFonts w:ascii="Book Antiqua" w:hAnsi="Book Antiqua"/>
          <w:noProof/>
          <w:sz w:val="24"/>
          <w:szCs w:val="24"/>
        </w:rPr>
        <w:t>. Oxford University.</w:t>
      </w:r>
    </w:p>
    <w:p w14:paraId="10C0E221" w14:textId="77777777" w:rsidR="00A22D3E" w:rsidRPr="00A22D3E" w:rsidRDefault="00A22D3E" w:rsidP="00A22D3E">
      <w:pPr>
        <w:widowControl w:val="0"/>
        <w:autoSpaceDE w:val="0"/>
        <w:autoSpaceDN w:val="0"/>
        <w:adjustRightInd w:val="0"/>
        <w:spacing w:line="360" w:lineRule="auto"/>
        <w:ind w:left="480" w:hanging="480"/>
        <w:jc w:val="both"/>
        <w:rPr>
          <w:rFonts w:ascii="Book Antiqua" w:hAnsi="Book Antiqua"/>
          <w:noProof/>
          <w:sz w:val="24"/>
          <w:szCs w:val="24"/>
        </w:rPr>
      </w:pPr>
      <w:r w:rsidRPr="00A22D3E">
        <w:rPr>
          <w:rFonts w:ascii="Book Antiqua" w:hAnsi="Book Antiqua"/>
          <w:noProof/>
          <w:sz w:val="24"/>
          <w:szCs w:val="24"/>
        </w:rPr>
        <w:t xml:space="preserve">N.E. Algra dan Van Duyendijk. (1983). </w:t>
      </w:r>
      <w:r w:rsidRPr="00A22D3E">
        <w:rPr>
          <w:rFonts w:ascii="Book Antiqua" w:hAnsi="Book Antiqua"/>
          <w:i/>
          <w:iCs/>
          <w:noProof/>
          <w:sz w:val="24"/>
          <w:szCs w:val="24"/>
        </w:rPr>
        <w:t xml:space="preserve">Mula Hukum, diterjemahkan oleh J.C.T. </w:t>
      </w:r>
      <w:r w:rsidRPr="00A22D3E">
        <w:rPr>
          <w:rFonts w:ascii="Book Antiqua" w:hAnsi="Book Antiqua"/>
          <w:i/>
          <w:iCs/>
          <w:noProof/>
          <w:sz w:val="24"/>
          <w:szCs w:val="24"/>
        </w:rPr>
        <w:lastRenderedPageBreak/>
        <w:t>Simorangkir, dkk</w:t>
      </w:r>
      <w:r w:rsidRPr="00A22D3E">
        <w:rPr>
          <w:rFonts w:ascii="Book Antiqua" w:hAnsi="Book Antiqua"/>
          <w:noProof/>
          <w:sz w:val="24"/>
          <w:szCs w:val="24"/>
        </w:rPr>
        <w:t xml:space="preserve"> (Bandung). Bina Cipta.</w:t>
      </w:r>
    </w:p>
    <w:p w14:paraId="52AFD45E" w14:textId="77777777" w:rsidR="00A22D3E" w:rsidRPr="00A22D3E" w:rsidRDefault="00A22D3E" w:rsidP="00A22D3E">
      <w:pPr>
        <w:widowControl w:val="0"/>
        <w:autoSpaceDE w:val="0"/>
        <w:autoSpaceDN w:val="0"/>
        <w:adjustRightInd w:val="0"/>
        <w:spacing w:line="360" w:lineRule="auto"/>
        <w:ind w:left="480" w:hanging="480"/>
        <w:jc w:val="both"/>
        <w:rPr>
          <w:rFonts w:ascii="Book Antiqua" w:hAnsi="Book Antiqua"/>
          <w:noProof/>
          <w:sz w:val="24"/>
          <w:szCs w:val="24"/>
        </w:rPr>
      </w:pPr>
      <w:r w:rsidRPr="00A22D3E">
        <w:rPr>
          <w:rFonts w:ascii="Book Antiqua" w:hAnsi="Book Antiqua"/>
          <w:i/>
          <w:iCs/>
          <w:noProof/>
          <w:sz w:val="24"/>
          <w:szCs w:val="24"/>
        </w:rPr>
        <w:t>Putusan Kasasi Mahkamah Agung Nomor 624 K/Ag/2017 halaman 25 – 26</w:t>
      </w:r>
      <w:r w:rsidRPr="00A22D3E">
        <w:rPr>
          <w:rFonts w:ascii="Book Antiqua" w:hAnsi="Book Antiqua"/>
          <w:noProof/>
          <w:sz w:val="24"/>
          <w:szCs w:val="24"/>
        </w:rPr>
        <w:t>. (n.d.).</w:t>
      </w:r>
    </w:p>
    <w:p w14:paraId="3E7305D2" w14:textId="77777777" w:rsidR="00A22D3E" w:rsidRPr="00A22D3E" w:rsidRDefault="00A22D3E" w:rsidP="00A22D3E">
      <w:pPr>
        <w:widowControl w:val="0"/>
        <w:autoSpaceDE w:val="0"/>
        <w:autoSpaceDN w:val="0"/>
        <w:adjustRightInd w:val="0"/>
        <w:spacing w:line="360" w:lineRule="auto"/>
        <w:ind w:left="480" w:hanging="480"/>
        <w:jc w:val="both"/>
        <w:rPr>
          <w:rFonts w:ascii="Book Antiqua" w:hAnsi="Book Antiqua"/>
          <w:noProof/>
          <w:sz w:val="24"/>
          <w:szCs w:val="24"/>
        </w:rPr>
      </w:pPr>
      <w:r w:rsidRPr="00A22D3E">
        <w:rPr>
          <w:rFonts w:ascii="Book Antiqua" w:hAnsi="Book Antiqua"/>
          <w:i/>
          <w:iCs/>
          <w:noProof/>
          <w:sz w:val="24"/>
          <w:szCs w:val="24"/>
        </w:rPr>
        <w:t>Putusan PA Medan Nomor 944/Pdt.G/ 2015/PA.Mdn halaman 55 – 57</w:t>
      </w:r>
      <w:r w:rsidRPr="00A22D3E">
        <w:rPr>
          <w:rFonts w:ascii="Book Antiqua" w:hAnsi="Book Antiqua"/>
          <w:noProof/>
          <w:sz w:val="24"/>
          <w:szCs w:val="24"/>
        </w:rPr>
        <w:t>. (n.d.).</w:t>
      </w:r>
    </w:p>
    <w:p w14:paraId="5DB323CD" w14:textId="77777777" w:rsidR="00A22D3E" w:rsidRPr="00A22D3E" w:rsidRDefault="00A22D3E" w:rsidP="00A22D3E">
      <w:pPr>
        <w:widowControl w:val="0"/>
        <w:autoSpaceDE w:val="0"/>
        <w:autoSpaceDN w:val="0"/>
        <w:adjustRightInd w:val="0"/>
        <w:spacing w:line="360" w:lineRule="auto"/>
        <w:ind w:left="480" w:hanging="480"/>
        <w:jc w:val="both"/>
        <w:rPr>
          <w:rFonts w:ascii="Book Antiqua" w:hAnsi="Book Antiqua"/>
          <w:noProof/>
          <w:sz w:val="24"/>
          <w:szCs w:val="24"/>
        </w:rPr>
      </w:pPr>
      <w:r w:rsidRPr="00A22D3E">
        <w:rPr>
          <w:rFonts w:ascii="Book Antiqua" w:hAnsi="Book Antiqua"/>
          <w:i/>
          <w:iCs/>
          <w:noProof/>
          <w:sz w:val="24"/>
          <w:szCs w:val="24"/>
        </w:rPr>
        <w:t>Putusan PTA Medan Nomor 68/Pdt.G/2016/PTA.Mdn halaman 8</w:t>
      </w:r>
      <w:r w:rsidRPr="00A22D3E">
        <w:rPr>
          <w:rFonts w:ascii="Book Antiqua" w:hAnsi="Book Antiqua"/>
          <w:noProof/>
          <w:sz w:val="24"/>
          <w:szCs w:val="24"/>
        </w:rPr>
        <w:t>. (n.d.).</w:t>
      </w:r>
    </w:p>
    <w:p w14:paraId="3C71597F" w14:textId="77777777" w:rsidR="00A22D3E" w:rsidRPr="00A22D3E" w:rsidRDefault="00A22D3E" w:rsidP="00A22D3E">
      <w:pPr>
        <w:widowControl w:val="0"/>
        <w:autoSpaceDE w:val="0"/>
        <w:autoSpaceDN w:val="0"/>
        <w:adjustRightInd w:val="0"/>
        <w:spacing w:line="360" w:lineRule="auto"/>
        <w:ind w:left="480" w:hanging="480"/>
        <w:jc w:val="both"/>
        <w:rPr>
          <w:rFonts w:ascii="Book Antiqua" w:hAnsi="Book Antiqua"/>
          <w:noProof/>
          <w:sz w:val="24"/>
          <w:szCs w:val="24"/>
        </w:rPr>
      </w:pPr>
      <w:r w:rsidRPr="00A22D3E">
        <w:rPr>
          <w:rFonts w:ascii="Book Antiqua" w:hAnsi="Book Antiqua"/>
          <w:noProof/>
          <w:sz w:val="24"/>
          <w:szCs w:val="24"/>
        </w:rPr>
        <w:t xml:space="preserve">Qamar, N., Syarif, M., Busthami, D. S., Hidjaz, M. K., Aswari, A., Djanggih, H., &amp; Rezah, F. S. (2017). </w:t>
      </w:r>
      <w:r w:rsidRPr="00A22D3E">
        <w:rPr>
          <w:rFonts w:ascii="Book Antiqua" w:hAnsi="Book Antiqua"/>
          <w:i/>
          <w:iCs/>
          <w:noProof/>
          <w:sz w:val="24"/>
          <w:szCs w:val="24"/>
        </w:rPr>
        <w:t>Metode Penelitian Hukum (Legal Research Methods)</w:t>
      </w:r>
      <w:r w:rsidRPr="00A22D3E">
        <w:rPr>
          <w:rFonts w:ascii="Book Antiqua" w:hAnsi="Book Antiqua"/>
          <w:noProof/>
          <w:sz w:val="24"/>
          <w:szCs w:val="24"/>
        </w:rPr>
        <w:t>. CV. Social Politic Genius (SIGn). https://books.google.co.id/books?id=hfacDwAAQBAJ</w:t>
      </w:r>
    </w:p>
    <w:p w14:paraId="638337CC" w14:textId="77777777" w:rsidR="00A22D3E" w:rsidRPr="00A22D3E" w:rsidRDefault="00A22D3E" w:rsidP="00A22D3E">
      <w:pPr>
        <w:widowControl w:val="0"/>
        <w:autoSpaceDE w:val="0"/>
        <w:autoSpaceDN w:val="0"/>
        <w:adjustRightInd w:val="0"/>
        <w:spacing w:line="360" w:lineRule="auto"/>
        <w:ind w:left="480" w:hanging="480"/>
        <w:jc w:val="both"/>
        <w:rPr>
          <w:rFonts w:ascii="Book Antiqua" w:hAnsi="Book Antiqua"/>
          <w:noProof/>
          <w:sz w:val="24"/>
          <w:szCs w:val="24"/>
        </w:rPr>
      </w:pPr>
      <w:r w:rsidRPr="00A22D3E">
        <w:rPr>
          <w:rFonts w:ascii="Book Antiqua" w:hAnsi="Book Antiqua"/>
          <w:noProof/>
          <w:sz w:val="24"/>
          <w:szCs w:val="24"/>
        </w:rPr>
        <w:t>Surahman, M., &amp; Nurrohman, N. (2020). Analysis of Maqâshid Al-Syar</w:t>
      </w:r>
      <w:r w:rsidRPr="00A22D3E">
        <w:rPr>
          <w:rFonts w:ascii="Cambria" w:hAnsi="Cambria" w:cs="Cambria"/>
          <w:noProof/>
          <w:sz w:val="24"/>
          <w:szCs w:val="24"/>
        </w:rPr>
        <w:t>ȋ</w:t>
      </w:r>
      <w:r w:rsidRPr="00A22D3E">
        <w:rPr>
          <w:rFonts w:ascii="Book Antiqua" w:hAnsi="Book Antiqua" w:cs="Book Antiqua"/>
          <w:noProof/>
          <w:sz w:val="24"/>
          <w:szCs w:val="24"/>
        </w:rPr>
        <w:t>’</w:t>
      </w:r>
      <w:r w:rsidRPr="00A22D3E">
        <w:rPr>
          <w:rFonts w:ascii="Book Antiqua" w:hAnsi="Book Antiqua"/>
          <w:noProof/>
          <w:sz w:val="24"/>
          <w:szCs w:val="24"/>
        </w:rPr>
        <w:t>Ah on the Application of the Collateral in the Mudh</w:t>
      </w:r>
      <w:r w:rsidRPr="00A22D3E">
        <w:rPr>
          <w:rFonts w:ascii="Cambria" w:hAnsi="Cambria" w:cs="Cambria"/>
          <w:noProof/>
          <w:sz w:val="24"/>
          <w:szCs w:val="24"/>
        </w:rPr>
        <w:t>ȃ</w:t>
      </w:r>
      <w:r w:rsidRPr="00A22D3E">
        <w:rPr>
          <w:rFonts w:ascii="Book Antiqua" w:hAnsi="Book Antiqua"/>
          <w:noProof/>
          <w:sz w:val="24"/>
          <w:szCs w:val="24"/>
        </w:rPr>
        <w:t xml:space="preserve">rabah Contract in Sharia Financial Institutions. </w:t>
      </w:r>
      <w:r w:rsidRPr="00A22D3E">
        <w:rPr>
          <w:rFonts w:ascii="Book Antiqua" w:hAnsi="Book Antiqua"/>
          <w:i/>
          <w:iCs/>
          <w:noProof/>
          <w:sz w:val="24"/>
          <w:szCs w:val="24"/>
        </w:rPr>
        <w:t>Amwaluna: Jurnal Ekonomi Dan Keuangan Syariah</w:t>
      </w:r>
      <w:r w:rsidRPr="00A22D3E">
        <w:rPr>
          <w:rFonts w:ascii="Book Antiqua" w:hAnsi="Book Antiqua"/>
          <w:noProof/>
          <w:sz w:val="24"/>
          <w:szCs w:val="24"/>
        </w:rPr>
        <w:t xml:space="preserve">, </w:t>
      </w:r>
      <w:r w:rsidRPr="00A22D3E">
        <w:rPr>
          <w:rFonts w:ascii="Book Antiqua" w:hAnsi="Book Antiqua"/>
          <w:i/>
          <w:iCs/>
          <w:noProof/>
          <w:sz w:val="24"/>
          <w:szCs w:val="24"/>
        </w:rPr>
        <w:t>4</w:t>
      </w:r>
      <w:r w:rsidRPr="00A22D3E">
        <w:rPr>
          <w:rFonts w:ascii="Book Antiqua" w:hAnsi="Book Antiqua"/>
          <w:noProof/>
          <w:sz w:val="24"/>
          <w:szCs w:val="24"/>
        </w:rPr>
        <w:t>(2), 276–287. https://doi.org/10.29313/amwaluna.v4i2.5588</w:t>
      </w:r>
    </w:p>
    <w:p w14:paraId="3C008512" w14:textId="77777777" w:rsidR="00A22D3E" w:rsidRPr="00A22D3E" w:rsidRDefault="00A22D3E" w:rsidP="00A22D3E">
      <w:pPr>
        <w:widowControl w:val="0"/>
        <w:autoSpaceDE w:val="0"/>
        <w:autoSpaceDN w:val="0"/>
        <w:adjustRightInd w:val="0"/>
        <w:spacing w:line="360" w:lineRule="auto"/>
        <w:ind w:left="480" w:hanging="480"/>
        <w:jc w:val="both"/>
        <w:rPr>
          <w:rFonts w:ascii="Book Antiqua" w:hAnsi="Book Antiqua"/>
          <w:noProof/>
          <w:sz w:val="24"/>
        </w:rPr>
      </w:pPr>
      <w:r w:rsidRPr="00A22D3E">
        <w:rPr>
          <w:rFonts w:ascii="Book Antiqua" w:hAnsi="Book Antiqua"/>
          <w:noProof/>
          <w:sz w:val="24"/>
          <w:szCs w:val="24"/>
        </w:rPr>
        <w:t xml:space="preserve">Yhu’nanda, M. A. (2014). Analisis Unsur Kesalahan Dan Kelalain Mudharib Dalam Akad Pembiayaan Mudharabah Bermasaah Sebagai Dasar Eksekusi Jaminan. </w:t>
      </w:r>
      <w:r w:rsidRPr="00A22D3E">
        <w:rPr>
          <w:rFonts w:ascii="Book Antiqua" w:hAnsi="Book Antiqua"/>
          <w:i/>
          <w:iCs/>
          <w:noProof/>
          <w:sz w:val="24"/>
          <w:szCs w:val="24"/>
        </w:rPr>
        <w:t>Kumpulan Jurnal Mahasiswa Fakultas Hukum</w:t>
      </w:r>
      <w:r w:rsidRPr="00A22D3E">
        <w:rPr>
          <w:rFonts w:ascii="Book Antiqua" w:hAnsi="Book Antiqua"/>
          <w:noProof/>
          <w:sz w:val="24"/>
          <w:szCs w:val="24"/>
        </w:rPr>
        <w:t xml:space="preserve">, </w:t>
      </w:r>
      <w:r w:rsidRPr="00A22D3E">
        <w:rPr>
          <w:rFonts w:ascii="Book Antiqua" w:hAnsi="Book Antiqua"/>
          <w:i/>
          <w:iCs/>
          <w:noProof/>
          <w:sz w:val="24"/>
          <w:szCs w:val="24"/>
        </w:rPr>
        <w:t>Sarjana Ilmu Hukum</w:t>
      </w:r>
      <w:r w:rsidRPr="00A22D3E">
        <w:rPr>
          <w:rFonts w:ascii="Book Antiqua" w:hAnsi="Book Antiqua"/>
          <w:noProof/>
          <w:sz w:val="24"/>
          <w:szCs w:val="24"/>
        </w:rPr>
        <w:t xml:space="preserve">, </w:t>
      </w:r>
      <w:r w:rsidRPr="00A22D3E">
        <w:rPr>
          <w:rFonts w:ascii="Book Antiqua" w:hAnsi="Book Antiqua"/>
          <w:i/>
          <w:iCs/>
          <w:noProof/>
          <w:sz w:val="24"/>
          <w:szCs w:val="24"/>
        </w:rPr>
        <w:t>Juli 2014</w:t>
      </w:r>
      <w:r w:rsidRPr="00A22D3E">
        <w:rPr>
          <w:rFonts w:ascii="Book Antiqua" w:hAnsi="Book Antiqua"/>
          <w:noProof/>
          <w:sz w:val="24"/>
          <w:szCs w:val="24"/>
        </w:rPr>
        <w:t>.</w:t>
      </w:r>
    </w:p>
    <w:p w14:paraId="7AFDD5F5" w14:textId="77777777" w:rsidR="00A22D3E" w:rsidRPr="00A22D3E" w:rsidRDefault="00A22D3E" w:rsidP="00A22D3E">
      <w:pPr>
        <w:spacing w:line="360" w:lineRule="auto"/>
        <w:jc w:val="both"/>
        <w:rPr>
          <w:rFonts w:ascii="Book Antiqua" w:hAnsi="Book Antiqua"/>
          <w:b/>
          <w:bCs/>
          <w:sz w:val="24"/>
          <w:szCs w:val="24"/>
        </w:rPr>
      </w:pPr>
      <w:r w:rsidRPr="00A22D3E">
        <w:rPr>
          <w:rFonts w:ascii="Book Antiqua" w:hAnsi="Book Antiqua"/>
          <w:b/>
          <w:bCs/>
          <w:sz w:val="24"/>
          <w:szCs w:val="24"/>
        </w:rPr>
        <w:fldChar w:fldCharType="end"/>
      </w:r>
    </w:p>
    <w:p w14:paraId="770610B6" w14:textId="77777777" w:rsidR="00A22D3E" w:rsidRPr="00A22D3E" w:rsidRDefault="00A22D3E" w:rsidP="00A22D3E">
      <w:pPr>
        <w:spacing w:line="360" w:lineRule="auto"/>
        <w:jc w:val="both"/>
        <w:rPr>
          <w:rFonts w:ascii="Book Antiqua" w:hAnsi="Book Antiqua"/>
          <w:b/>
          <w:bCs/>
          <w:sz w:val="24"/>
          <w:szCs w:val="24"/>
        </w:rPr>
      </w:pPr>
    </w:p>
    <w:p w14:paraId="3EBC07EF" w14:textId="77777777" w:rsidR="00A22D3E" w:rsidRPr="00A22D3E" w:rsidRDefault="00A22D3E" w:rsidP="00A22D3E">
      <w:pPr>
        <w:spacing w:line="360" w:lineRule="auto"/>
        <w:jc w:val="both"/>
        <w:rPr>
          <w:rFonts w:ascii="Book Antiqua" w:hAnsi="Book Antiqua"/>
          <w:b/>
          <w:bCs/>
          <w:sz w:val="24"/>
          <w:szCs w:val="24"/>
        </w:rPr>
      </w:pPr>
    </w:p>
    <w:p w14:paraId="4E89325E" w14:textId="77777777" w:rsidR="00A22D3E" w:rsidRPr="00A22D3E" w:rsidRDefault="00A22D3E" w:rsidP="00A22D3E">
      <w:pPr>
        <w:spacing w:line="360" w:lineRule="auto"/>
        <w:jc w:val="both"/>
        <w:rPr>
          <w:rFonts w:ascii="Book Antiqua" w:hAnsi="Book Antiqua"/>
          <w:b/>
          <w:bCs/>
          <w:sz w:val="24"/>
          <w:szCs w:val="24"/>
        </w:rPr>
      </w:pPr>
    </w:p>
    <w:p w14:paraId="499D7051" w14:textId="77777777" w:rsidR="00A22D3E" w:rsidRPr="00A22D3E" w:rsidRDefault="00A22D3E" w:rsidP="00A22D3E">
      <w:pPr>
        <w:jc w:val="both"/>
        <w:rPr>
          <w:rFonts w:ascii="Book Antiqua" w:hAnsi="Book Antiqua"/>
          <w:lang w:val="id-ID"/>
        </w:rPr>
      </w:pPr>
    </w:p>
    <w:p w14:paraId="33FBE71F" w14:textId="77777777" w:rsidR="001B7713" w:rsidRPr="00A22D3E" w:rsidRDefault="001B7713" w:rsidP="00A22D3E">
      <w:pPr>
        <w:jc w:val="both"/>
        <w:rPr>
          <w:rFonts w:ascii="Book Antiqua" w:hAnsi="Book Antiqua"/>
          <w:sz w:val="24"/>
          <w:szCs w:val="24"/>
          <w:lang w:val="id-ID" w:eastAsia="id-ID"/>
        </w:rPr>
      </w:pPr>
    </w:p>
    <w:sectPr w:rsidR="001B7713" w:rsidRPr="00A22D3E" w:rsidSect="00882EA9">
      <w:headerReference w:type="even" r:id="rId8"/>
      <w:headerReference w:type="default" r:id="rId9"/>
      <w:footerReference w:type="even" r:id="rId10"/>
      <w:footerReference w:type="default" r:id="rId11"/>
      <w:headerReference w:type="first" r:id="rId12"/>
      <w:footerReference w:type="first" r:id="rId13"/>
      <w:pgSz w:w="11907" w:h="16840" w:code="9"/>
      <w:pgMar w:top="1701" w:right="1701" w:bottom="1701" w:left="1701" w:header="284"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A8C1B" w14:textId="77777777" w:rsidR="00060914" w:rsidRDefault="00060914">
      <w:r>
        <w:separator/>
      </w:r>
    </w:p>
  </w:endnote>
  <w:endnote w:type="continuationSeparator" w:id="0">
    <w:p w14:paraId="1F49687F" w14:textId="77777777" w:rsidR="00060914" w:rsidRDefault="00060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altName w:val="Tahoma"/>
    <w:panose1 w:val="020B0604030504040204"/>
    <w:charset w:val="00"/>
    <w:family w:val="swiss"/>
    <w:pitch w:val="variable"/>
    <w:sig w:usb0="E1002EFF" w:usb1="C000605B" w:usb2="00000029" w:usb3="00000000" w:csb0="000101FF" w:csb1="00000000"/>
  </w:font>
  <w:font w:name="Palatino">
    <w:charset w:val="00"/>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raditional Arabic">
    <w:charset w:val="B2"/>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Junicode">
    <w:altName w:val="Times New Roman"/>
    <w:panose1 w:val="00000000000000000000"/>
    <w:charset w:val="00"/>
    <w:family w:val="auto"/>
    <w:notTrueType/>
    <w:pitch w:val="default"/>
    <w:sig w:usb0="00000003" w:usb1="00000000" w:usb2="00000000" w:usb3="00000000" w:csb0="00000001" w:csb1="00000000"/>
  </w:font>
  <w:font w:name="Book Antiqua">
    <w:altName w:val="Times New Roman"/>
    <w:panose1 w:val="02040602050305030304"/>
    <w:charset w:val="00"/>
    <w:family w:val="roman"/>
    <w:pitch w:val="variable"/>
    <w:sig w:usb0="00000287" w:usb1="00000000" w:usb2="00000000" w:usb3="00000000" w:csb0="0000009F" w:csb1="00000000"/>
  </w:font>
  <w:font w:name="Arabic Typesetting">
    <w:altName w:val="Arabic Typesetting"/>
    <w:charset w:val="B2"/>
    <w:family w:val="script"/>
    <w:pitch w:val="variable"/>
    <w:sig w:usb0="80002007" w:usb1="80000000" w:usb2="00000008" w:usb3="00000000" w:csb0="000000D3" w:csb1="00000000"/>
  </w:font>
  <w:font w:name="Cambria">
    <w:panose1 w:val="02040503050406030204"/>
    <w:charset w:val="00"/>
    <w:family w:val="roman"/>
    <w:pitch w:val="variable"/>
    <w:sig w:usb0="E00006FF" w:usb1="420024FF" w:usb2="02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9ED56" w14:textId="79FE6593" w:rsidR="00CA36DF" w:rsidRDefault="0032035E" w:rsidP="00CA36DF">
    <w:pPr>
      <w:pStyle w:val="Footer"/>
    </w:pPr>
    <w:r>
      <w:rPr>
        <w:noProof/>
      </w:rPr>
      <mc:AlternateContent>
        <mc:Choice Requires="wpg">
          <w:drawing>
            <wp:anchor distT="0" distB="0" distL="114300" distR="114300" simplePos="0" relativeHeight="251660288" behindDoc="0" locked="0" layoutInCell="1" allowOverlap="1" wp14:anchorId="68F2B348" wp14:editId="64390194">
              <wp:simplePos x="0" y="0"/>
              <wp:positionH relativeFrom="page">
                <wp:align>center</wp:align>
              </wp:positionH>
              <wp:positionV relativeFrom="line">
                <wp:align>top</wp:align>
              </wp:positionV>
              <wp:extent cx="5859145" cy="347345"/>
              <wp:effectExtent l="10160" t="13335" r="7620" b="10795"/>
              <wp:wrapTopAndBottom/>
              <wp:docPr id="9"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10"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41D4D2EF"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1CACE561" w14:textId="77777777" w:rsidR="00CA36DF" w:rsidRPr="007420CD" w:rsidRDefault="00CA36DF" w:rsidP="00CA36DF">
                            <w:pPr>
                              <w:pStyle w:val="Header"/>
                              <w:jc w:val="both"/>
                              <w:rPr>
                                <w:rFonts w:ascii="Garamond" w:hAnsi="Garamond"/>
                                <w:b/>
                                <w:bCs/>
                                <w:color w:val="FFFFFF"/>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11"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0CD437"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12"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F2B348" id="Group 156" o:spid="_x0000_s1026" style="position:absolute;margin-left:0;margin-top:0;width:461.35pt;height:27.35pt;z-index:251660288;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">
              <v:rect id="Rectangle 157" o:spid="_x0000_s1027"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" fillcolor="#953735" stroked="f" strokecolor="#943634">
                <v:textbox>
                  <w:txbxContent>
                    <w:p w14:paraId="41D4D2EF"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1CACE561" w14:textId="77777777" w:rsidR="00CA36DF" w:rsidRPr="007420CD" w:rsidRDefault="00CA36DF" w:rsidP="00CA36DF">
                      <w:pPr>
                        <w:pStyle w:val="Header"/>
                        <w:jc w:val="both"/>
                        <w:rPr>
                          <w:rFonts w:ascii="Garamond" w:hAnsi="Garamond"/>
                          <w:b/>
                          <w:bCs/>
                          <w:color w:val="FFFFFF"/>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v:textbox>
              </v:rect>
              <v:rect id="Rectangle 158" o:spid="_x0000_s1028"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" fillcolor="#953735" stroked="f">
                <v:textbox>
                  <w:txbxContent>
                    <w:p w14:paraId="320CD437"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v:textbox>
              </v:rect>
              <v:rect id="Rectangle 159" o:spid="_x0000_s1029"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" filled="f"/>
              <w10:wrap type="topAndBottom" anchorx="page" anchory="line"/>
            </v:group>
          </w:pict>
        </mc:Fallback>
      </mc:AlternateContent>
    </w:r>
  </w:p>
  <w:p w14:paraId="5222E90A" w14:textId="77777777" w:rsidR="00CA36DF" w:rsidRDefault="00CA36DF" w:rsidP="00CA36DF">
    <w:pPr>
      <w:pStyle w:val="Footer"/>
    </w:pPr>
  </w:p>
  <w:p w14:paraId="2052F495" w14:textId="77777777" w:rsidR="00CA36DF" w:rsidRDefault="00CA36DF" w:rsidP="00CA36DF">
    <w:pPr>
      <w:pStyle w:val="Footer"/>
      <w:rPr>
        <w:i/>
        <w:szCs w:val="22"/>
        <w:lang w:val="id-ID"/>
      </w:rPr>
    </w:pPr>
  </w:p>
  <w:p w14:paraId="297DCAB4" w14:textId="77777777" w:rsidR="00CA36DF" w:rsidRDefault="00CA36DF" w:rsidP="00CA36DF">
    <w:pPr>
      <w:pStyle w:val="Footer"/>
      <w:rPr>
        <w:i/>
        <w:szCs w:val="22"/>
        <w:lang w:val="id-ID"/>
      </w:rPr>
    </w:pPr>
  </w:p>
  <w:p w14:paraId="59D6154F" w14:textId="77777777" w:rsidR="00CA36DF" w:rsidRDefault="00CA36DF" w:rsidP="00CA36DF">
    <w:pPr>
      <w:pStyle w:val="Footer"/>
      <w:rPr>
        <w:i/>
        <w:szCs w:val="22"/>
        <w:lang w:val="id-ID" w:eastAsia="ko-KR"/>
      </w:rPr>
    </w:pPr>
  </w:p>
  <w:p w14:paraId="1B91D119" w14:textId="04FC6134" w:rsidR="000E199B" w:rsidRPr="00D23B5E" w:rsidRDefault="000E199B" w:rsidP="008B04B3">
    <w:pPr>
      <w:pStyle w:val="Header"/>
      <w:tabs>
        <w:tab w:val="clear" w:pos="4320"/>
        <w:tab w:val="clear" w:pos="8640"/>
        <w:tab w:val="left" w:pos="2992"/>
      </w:tabs>
      <w:ind w:right="90"/>
      <w:rPr>
        <w:color w:val="FFFFFF"/>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570F4" w14:textId="4066B677" w:rsidR="00CA36DF" w:rsidRDefault="0032035E" w:rsidP="00CA36DF">
    <w:pPr>
      <w:pStyle w:val="Footer"/>
    </w:pPr>
    <w:r>
      <w:rPr>
        <w:noProof/>
      </w:rPr>
      <mc:AlternateContent>
        <mc:Choice Requires="wpg">
          <w:drawing>
            <wp:anchor distT="0" distB="0" distL="114300" distR="114300" simplePos="0" relativeHeight="251662336" behindDoc="0" locked="0" layoutInCell="1" allowOverlap="1" wp14:anchorId="2A5CA9C3" wp14:editId="08D3CCDC">
              <wp:simplePos x="0" y="0"/>
              <wp:positionH relativeFrom="page">
                <wp:align>center</wp:align>
              </wp:positionH>
              <wp:positionV relativeFrom="line">
                <wp:align>top</wp:align>
              </wp:positionV>
              <wp:extent cx="5859145" cy="347345"/>
              <wp:effectExtent l="10160" t="13335" r="7620" b="10795"/>
              <wp:wrapTopAndBottom/>
              <wp:docPr id="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6"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3FE97A87"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7B0E6677" w14:textId="77777777" w:rsidR="00CA36DF" w:rsidRPr="007420CD" w:rsidRDefault="00CA36DF" w:rsidP="00CA36DF">
                            <w:pPr>
                              <w:pStyle w:val="Header"/>
                              <w:jc w:val="both"/>
                              <w:rPr>
                                <w:rFonts w:ascii="Garamond" w:hAnsi="Garamond"/>
                                <w:b/>
                                <w:bCs/>
                                <w:color w:val="FFFFFF"/>
                                <w:sz w:val="18"/>
                                <w:szCs w:val="18"/>
                                <w:lang w:val="id-ID"/>
                              </w:rPr>
                            </w:pPr>
                          </w:p>
                          <w:p w14:paraId="727DEE72" w14:textId="77777777" w:rsidR="00CA36DF" w:rsidRPr="003437A5" w:rsidRDefault="00CA36DF" w:rsidP="00CA36DF">
                            <w:pPr>
                              <w:pStyle w:val="Header"/>
                              <w:rPr>
                                <w:rFonts w:ascii="Garamond" w:hAnsi="Garamond"/>
                                <w:b/>
                                <w:bCs/>
                                <w:color w:val="FFFFFF"/>
                                <w:sz w:val="10"/>
                                <w:szCs w:val="10"/>
                              </w:rPr>
                            </w:pPr>
                          </w:p>
                          <w:p w14:paraId="64317822"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7"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30263A"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8"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5CA9C3" id="_x0000_s1030" style="position:absolute;margin-left:0;margin-top:0;width:461.35pt;height:27.35pt;z-index:251662336;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">
              <v:rect id="Rectangle 157" o:spid="_x0000_s1031"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" fillcolor="#953735" stroked="f" strokecolor="#943634">
                <v:textbox>
                  <w:txbxContent>
                    <w:p w14:paraId="3FE97A87"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7B0E6677" w14:textId="77777777" w:rsidR="00CA36DF" w:rsidRPr="007420CD" w:rsidRDefault="00CA36DF" w:rsidP="00CA36DF">
                      <w:pPr>
                        <w:pStyle w:val="Header"/>
                        <w:jc w:val="both"/>
                        <w:rPr>
                          <w:rFonts w:ascii="Garamond" w:hAnsi="Garamond"/>
                          <w:b/>
                          <w:bCs/>
                          <w:color w:val="FFFFFF"/>
                          <w:sz w:val="18"/>
                          <w:szCs w:val="18"/>
                          <w:lang w:val="id-ID"/>
                        </w:rPr>
                      </w:pPr>
                    </w:p>
                    <w:p w14:paraId="727DEE72" w14:textId="77777777" w:rsidR="00CA36DF" w:rsidRPr="003437A5" w:rsidRDefault="00CA36DF" w:rsidP="00CA36DF">
                      <w:pPr>
                        <w:pStyle w:val="Header"/>
                        <w:rPr>
                          <w:rFonts w:ascii="Garamond" w:hAnsi="Garamond"/>
                          <w:b/>
                          <w:bCs/>
                          <w:color w:val="FFFFFF"/>
                          <w:sz w:val="10"/>
                          <w:szCs w:val="10"/>
                        </w:rPr>
                      </w:pPr>
                    </w:p>
                    <w:p w14:paraId="64317822" w14:textId="77777777" w:rsidR="00CA36DF" w:rsidRPr="00B000D7" w:rsidRDefault="00CA36DF" w:rsidP="00CA36DF">
                      <w:pPr>
                        <w:pStyle w:val="Header"/>
                        <w:jc w:val="both"/>
                        <w:rPr>
                          <w:b/>
                          <w:bCs/>
                          <w:color w:val="FFFFFF"/>
                          <w:sz w:val="18"/>
                          <w:szCs w:val="18"/>
                        </w:rPr>
                      </w:pPr>
                    </w:p>
                  </w:txbxContent>
                </v:textbox>
              </v:rect>
              <v:rect id="Rectangle 158" o:spid="_x0000_s1032"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" fillcolor="#953735" stroked="f">
                <v:textbox>
                  <w:txbxContent>
                    <w:p w14:paraId="5630263A"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v:textbox>
              </v:rect>
              <v:rect id="Rectangle 159" o:spid="_x0000_s1033"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" filled="f"/>
              <w10:wrap type="topAndBottom" anchorx="page" anchory="line"/>
            </v:group>
          </w:pict>
        </mc:Fallback>
      </mc:AlternateContent>
    </w:r>
  </w:p>
  <w:p w14:paraId="03EB21FA" w14:textId="77777777" w:rsidR="00CA36DF" w:rsidRDefault="00CA36DF" w:rsidP="00CA36DF">
    <w:pPr>
      <w:pStyle w:val="Footer"/>
    </w:pPr>
  </w:p>
  <w:p w14:paraId="6E83256C" w14:textId="77777777" w:rsidR="00CA36DF" w:rsidRDefault="00CA36DF" w:rsidP="00CA36DF">
    <w:pPr>
      <w:pStyle w:val="Footer"/>
      <w:rPr>
        <w:i/>
        <w:szCs w:val="22"/>
        <w:lang w:val="id-ID"/>
      </w:rPr>
    </w:pPr>
  </w:p>
  <w:p w14:paraId="383F8384" w14:textId="77777777" w:rsidR="00CA36DF" w:rsidRDefault="00CA36DF" w:rsidP="00CA36DF">
    <w:pPr>
      <w:pStyle w:val="Footer"/>
      <w:rPr>
        <w:i/>
        <w:szCs w:val="22"/>
        <w:lang w:val="id-ID"/>
      </w:rPr>
    </w:pPr>
  </w:p>
  <w:p w14:paraId="77A52C5A" w14:textId="77777777" w:rsidR="00CA36DF" w:rsidRDefault="00CA36DF" w:rsidP="00CA36DF">
    <w:pPr>
      <w:pStyle w:val="Footer"/>
      <w:rPr>
        <w:i/>
        <w:szCs w:val="22"/>
        <w:lang w:val="id-ID" w:eastAsia="ko-KR"/>
      </w:rPr>
    </w:pPr>
  </w:p>
  <w:p w14:paraId="01621217" w14:textId="77777777" w:rsidR="00CA36DF" w:rsidRDefault="00CA36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E2A6C" w14:textId="193509A8" w:rsidR="002B1F0A" w:rsidRDefault="0032035E" w:rsidP="002B1F0A">
    <w:pPr>
      <w:pStyle w:val="Footer"/>
    </w:pPr>
    <w:r>
      <w:rPr>
        <w:noProof/>
      </w:rPr>
      <mc:AlternateContent>
        <mc:Choice Requires="wpg">
          <w:drawing>
            <wp:anchor distT="0" distB="0" distL="114300" distR="114300" simplePos="0" relativeHeight="251658240" behindDoc="0" locked="0" layoutInCell="1" allowOverlap="1" wp14:anchorId="1C2C24F3" wp14:editId="68E0F572">
              <wp:simplePos x="0" y="0"/>
              <wp:positionH relativeFrom="page">
                <wp:align>center</wp:align>
              </wp:positionH>
              <wp:positionV relativeFrom="line">
                <wp:align>top</wp:align>
              </wp:positionV>
              <wp:extent cx="5859145" cy="347345"/>
              <wp:effectExtent l="10160" t="13335" r="7620" b="10795"/>
              <wp:wrapTopAndBottom/>
              <wp:docPr id="1"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2"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64924ADA" w14:textId="3D9F5386" w:rsidR="002B1F0A" w:rsidRPr="002B1F0A" w:rsidRDefault="002B1F0A" w:rsidP="002B1F0A">
                            <w:pPr>
                              <w:jc w:val="center"/>
                              <w:rPr>
                                <w:rFonts w:ascii="Book Antiqua" w:hAnsi="Book Antiqua"/>
                                <w:b/>
                                <w:bCs/>
                                <w:color w:val="FFFFFF" w:themeColor="background1"/>
                                <w:sz w:val="18"/>
                                <w:szCs w:val="18"/>
                                <w:lang w:val="id-ID"/>
                              </w:rPr>
                            </w:pPr>
                            <w:r w:rsidRPr="002B1F0A">
                              <w:rPr>
                                <w:rFonts w:ascii="Book Antiqua" w:hAnsi="Book Antiqua"/>
                                <w:b/>
                                <w:color w:val="FFFFFF" w:themeColor="background1"/>
                                <w:sz w:val="18"/>
                                <w:szCs w:val="18"/>
                                <w:lang w:val="id-ID"/>
                              </w:rPr>
                              <w:t>Author Name</w:t>
                            </w:r>
                            <w:r w:rsidRPr="002B1F0A">
                              <w:rPr>
                                <w:rFonts w:ascii="Book Antiqua" w:hAnsi="Book Antiqua"/>
                                <w:b/>
                                <w:bCs/>
                                <w:color w:val="FFFFFF" w:themeColor="background1"/>
                                <w:spacing w:val="60"/>
                                <w:sz w:val="18"/>
                                <w:szCs w:val="18"/>
                                <w:lang w:val="id-ID"/>
                              </w:rPr>
                              <w:t>:</w:t>
                            </w:r>
                            <w:r w:rsidRPr="002B1F0A">
                              <w:rPr>
                                <w:rFonts w:ascii="Book Antiqua" w:hAnsi="Book Antiqua"/>
                                <w:b/>
                                <w:color w:val="FFFFFF" w:themeColor="background1"/>
                                <w:sz w:val="24"/>
                                <w:szCs w:val="24"/>
                              </w:rPr>
                              <w:t xml:space="preserve"> </w:t>
                            </w:r>
                            <w:r w:rsidRPr="002B1F0A">
                              <w:rPr>
                                <w:rFonts w:ascii="Book Antiqua" w:hAnsi="Book Antiqua"/>
                                <w:b/>
                                <w:i/>
                                <w:iCs/>
                                <w:color w:val="FFFFFF" w:themeColor="background1"/>
                                <w:sz w:val="18"/>
                                <w:szCs w:val="18"/>
                              </w:rPr>
                              <w:t>Article Title</w:t>
                            </w:r>
                            <w:r w:rsidRPr="002B1F0A">
                              <w:rPr>
                                <w:rFonts w:ascii="Book Antiqua" w:hAnsi="Book Antiqua"/>
                                <w:b/>
                                <w:bCs/>
                                <w:i/>
                                <w:iCs/>
                                <w:color w:val="FFFFFF" w:themeColor="background1"/>
                                <w:sz w:val="18"/>
                                <w:szCs w:val="18"/>
                                <w:lang w:val="id-ID"/>
                              </w:rPr>
                              <w:t>..</w:t>
                            </w:r>
                          </w:p>
                          <w:p w14:paraId="5B4E7F76" w14:textId="77777777" w:rsidR="002B1F0A" w:rsidRPr="007420CD" w:rsidRDefault="002B1F0A" w:rsidP="002B1F0A">
                            <w:pPr>
                              <w:pStyle w:val="Header"/>
                              <w:jc w:val="both"/>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wps:txbx>
                      <wps:bodyPr rot="0" vert="horz" wrap="square" lIns="91440" tIns="45720" rIns="91440" bIns="45720" anchor="t" anchorCtr="0" upright="1">
                        <a:noAutofit/>
                      </wps:bodyPr>
                    </wps:wsp>
                    <wps:wsp>
                      <wps:cNvPr id="3"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402E35" w14:textId="77777777" w:rsidR="002B1F0A" w:rsidRPr="00BE0AD4" w:rsidRDefault="002B1F0A" w:rsidP="002B1F0A">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4"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2C24F3" id="_x0000_s1034" style="position:absolute;margin-left:0;margin-top:0;width:461.35pt;height:27.35pt;z-index:251658240;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">
              <v:rect id="Rectangle 157" o:spid="_x0000_s1035"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" fillcolor="#953735" stroked="f" strokecolor="#943634">
                <v:textbox>
                  <w:txbxContent>
                    <w:p w14:paraId="64924ADA" w14:textId="3D9F5386" w:rsidR="002B1F0A" w:rsidRPr="002B1F0A" w:rsidRDefault="002B1F0A" w:rsidP="002B1F0A">
                      <w:pPr>
                        <w:jc w:val="center"/>
                        <w:rPr>
                          <w:rFonts w:ascii="Book Antiqua" w:hAnsi="Book Antiqua"/>
                          <w:b/>
                          <w:bCs/>
                          <w:color w:val="FFFFFF" w:themeColor="background1"/>
                          <w:sz w:val="18"/>
                          <w:szCs w:val="18"/>
                          <w:lang w:val="id-ID"/>
                        </w:rPr>
                      </w:pPr>
                      <w:r w:rsidRPr="002B1F0A">
                        <w:rPr>
                          <w:rFonts w:ascii="Book Antiqua" w:hAnsi="Book Antiqua"/>
                          <w:b/>
                          <w:color w:val="FFFFFF" w:themeColor="background1"/>
                          <w:sz w:val="18"/>
                          <w:szCs w:val="18"/>
                          <w:lang w:val="id-ID"/>
                        </w:rPr>
                        <w:t>Author Name</w:t>
                      </w:r>
                      <w:r w:rsidRPr="002B1F0A">
                        <w:rPr>
                          <w:rFonts w:ascii="Book Antiqua" w:hAnsi="Book Antiqua"/>
                          <w:b/>
                          <w:bCs/>
                          <w:color w:val="FFFFFF" w:themeColor="background1"/>
                          <w:spacing w:val="60"/>
                          <w:sz w:val="18"/>
                          <w:szCs w:val="18"/>
                          <w:lang w:val="id-ID"/>
                        </w:rPr>
                        <w:t>:</w:t>
                      </w:r>
                      <w:r w:rsidRPr="002B1F0A">
                        <w:rPr>
                          <w:rFonts w:ascii="Book Antiqua" w:hAnsi="Book Antiqua"/>
                          <w:b/>
                          <w:color w:val="FFFFFF" w:themeColor="background1"/>
                          <w:sz w:val="24"/>
                          <w:szCs w:val="24"/>
                        </w:rPr>
                        <w:t xml:space="preserve"> </w:t>
                      </w:r>
                      <w:r w:rsidRPr="002B1F0A">
                        <w:rPr>
                          <w:rFonts w:ascii="Book Antiqua" w:hAnsi="Book Antiqua"/>
                          <w:b/>
                          <w:i/>
                          <w:iCs/>
                          <w:color w:val="FFFFFF" w:themeColor="background1"/>
                          <w:sz w:val="18"/>
                          <w:szCs w:val="18"/>
                        </w:rPr>
                        <w:t>Article Title</w:t>
                      </w:r>
                      <w:r w:rsidRPr="002B1F0A">
                        <w:rPr>
                          <w:rFonts w:ascii="Book Antiqua" w:hAnsi="Book Antiqua"/>
                          <w:b/>
                          <w:bCs/>
                          <w:i/>
                          <w:iCs/>
                          <w:color w:val="FFFFFF" w:themeColor="background1"/>
                          <w:sz w:val="18"/>
                          <w:szCs w:val="18"/>
                          <w:lang w:val="id-ID"/>
                        </w:rPr>
                        <w:t>..</w:t>
                      </w:r>
                    </w:p>
                    <w:p w14:paraId="5B4E7F76" w14:textId="77777777" w:rsidR="002B1F0A" w:rsidRPr="007420CD" w:rsidRDefault="002B1F0A" w:rsidP="002B1F0A">
                      <w:pPr>
                        <w:pStyle w:val="Header"/>
                        <w:jc w:val="both"/>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v:textbox>
              </v:rect>
              <v:rect id="Rectangle 158" o:spid="_x0000_s1036"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" fillcolor="#953735" stroked="f">
                <v:textbox>
                  <w:txbxContent>
                    <w:p w14:paraId="65402E35" w14:textId="77777777" w:rsidR="002B1F0A" w:rsidRPr="00BE0AD4" w:rsidRDefault="002B1F0A" w:rsidP="002B1F0A">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v:textbox>
              </v:rect>
              <v:rect id="Rectangle 159" o:spid="_x0000_s1037"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" filled="f"/>
              <w10:wrap type="topAndBottom" anchorx="page" anchory="line"/>
            </v:group>
          </w:pict>
        </mc:Fallback>
      </mc:AlternateContent>
    </w:r>
  </w:p>
  <w:p w14:paraId="77CE4839" w14:textId="77777777" w:rsidR="002B1F0A" w:rsidRDefault="002B1F0A" w:rsidP="002B1F0A">
    <w:pPr>
      <w:pStyle w:val="Footer"/>
    </w:pPr>
  </w:p>
  <w:p w14:paraId="4DE83ACB" w14:textId="77777777" w:rsidR="00874965" w:rsidRDefault="00874965">
    <w:pPr>
      <w:pStyle w:val="Footer"/>
      <w:rPr>
        <w:i/>
        <w:szCs w:val="22"/>
        <w:lang w:val="id-ID"/>
      </w:rPr>
    </w:pPr>
  </w:p>
  <w:p w14:paraId="61246705" w14:textId="77777777" w:rsidR="00874965" w:rsidRDefault="00874965">
    <w:pPr>
      <w:pStyle w:val="Footer"/>
      <w:rPr>
        <w:i/>
        <w:szCs w:val="22"/>
        <w:lang w:val="id-ID"/>
      </w:rPr>
    </w:pPr>
  </w:p>
  <w:p w14:paraId="4C910C86" w14:textId="77777777" w:rsidR="00874965" w:rsidRDefault="00874965">
    <w:pPr>
      <w:pStyle w:val="Footer"/>
      <w:rPr>
        <w:i/>
        <w:szCs w:val="22"/>
        <w:lang w:val="id-ID" w:eastAsia="ko-K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F72BB" w14:textId="77777777" w:rsidR="00060914" w:rsidRDefault="00060914">
      <w:r>
        <w:separator/>
      </w:r>
    </w:p>
  </w:footnote>
  <w:footnote w:type="continuationSeparator" w:id="0">
    <w:p w14:paraId="1144D631" w14:textId="77777777" w:rsidR="00060914" w:rsidRDefault="000609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CA36DF" w:rsidRPr="00B20305" w14:paraId="4F773589" w14:textId="77777777" w:rsidTr="00D161DE">
      <w:tc>
        <w:tcPr>
          <w:tcW w:w="1297" w:type="pct"/>
          <w:tcBorders>
            <w:bottom w:val="single" w:sz="4" w:space="0" w:color="943634"/>
          </w:tcBorders>
          <w:shd w:val="clear" w:color="auto" w:fill="943634"/>
          <w:vAlign w:val="bottom"/>
        </w:tcPr>
        <w:p w14:paraId="22F38A28" w14:textId="77777777" w:rsidR="00CA36DF" w:rsidRPr="00B20305" w:rsidRDefault="00CA36DF" w:rsidP="00CA36DF">
          <w:pPr>
            <w:pStyle w:val="Header"/>
            <w:jc w:val="center"/>
            <w:rPr>
              <w:rFonts w:ascii="Garamond" w:hAnsi="Garamond"/>
              <w:b/>
              <w:bCs/>
              <w:sz w:val="24"/>
              <w:szCs w:val="24"/>
              <w:lang w:val="id-ID"/>
            </w:rPr>
          </w:pPr>
          <w:r>
            <w:rPr>
              <w:rFonts w:ascii="Garamond" w:hAnsi="Garamond"/>
              <w:b/>
              <w:bCs/>
              <w:sz w:val="24"/>
              <w:szCs w:val="24"/>
              <w:lang w:val="id-ID"/>
            </w:rPr>
            <w:t>Pena Justisia</w:t>
          </w:r>
          <w:r w:rsidRPr="00B20305">
            <w:rPr>
              <w:rFonts w:ascii="Garamond" w:hAnsi="Garamond"/>
              <w:b/>
              <w:bCs/>
              <w:sz w:val="24"/>
              <w:szCs w:val="24"/>
              <w:lang w:val="id-ID"/>
            </w:rPr>
            <w:t>:</w:t>
          </w:r>
        </w:p>
        <w:p w14:paraId="7407D4AE" w14:textId="77777777" w:rsidR="00CA36DF" w:rsidRPr="00B20305" w:rsidRDefault="00CA36DF" w:rsidP="00CA36DF">
          <w:pPr>
            <w:pStyle w:val="Header"/>
            <w:ind w:left="-142"/>
            <w:jc w:val="center"/>
            <w:rPr>
              <w:rFonts w:ascii="Garamond" w:hAnsi="Garamond"/>
              <w:color w:val="FFFFFF"/>
            </w:rPr>
          </w:pPr>
          <w:r w:rsidRPr="00B20305">
            <w:rPr>
              <w:rFonts w:ascii="Garamond" w:hAnsi="Garamond"/>
              <w:b/>
              <w:bCs/>
              <w:sz w:val="16"/>
              <w:szCs w:val="16"/>
              <w:lang w:val="id-ID"/>
            </w:rPr>
            <w:t>Vol.</w:t>
          </w:r>
          <w:r>
            <w:rPr>
              <w:rFonts w:ascii="Garamond" w:hAnsi="Garamond"/>
              <w:b/>
              <w:bCs/>
              <w:sz w:val="16"/>
              <w:szCs w:val="16"/>
              <w:lang w:val="id-ID"/>
            </w:rPr>
            <w:t>..., No....</w:t>
          </w:r>
          <w:r w:rsidRPr="00B20305">
            <w:rPr>
              <w:rFonts w:ascii="Garamond" w:hAnsi="Garamond"/>
              <w:b/>
              <w:bCs/>
              <w:sz w:val="16"/>
              <w:szCs w:val="16"/>
              <w:lang w:val="id-ID"/>
            </w:rPr>
            <w:t xml:space="preserve">, </w:t>
          </w:r>
          <w:r>
            <w:rPr>
              <w:rFonts w:ascii="Garamond" w:hAnsi="Garamond"/>
              <w:b/>
              <w:bCs/>
              <w:sz w:val="16"/>
              <w:szCs w:val="16"/>
              <w:lang w:val="id-ID"/>
            </w:rPr>
            <w:t>Month .. Year</w:t>
          </w:r>
        </w:p>
      </w:tc>
      <w:tc>
        <w:tcPr>
          <w:tcW w:w="3703" w:type="pct"/>
          <w:tcBorders>
            <w:bottom w:val="single" w:sz="4" w:space="0" w:color="auto"/>
          </w:tcBorders>
          <w:vAlign w:val="bottom"/>
        </w:tcPr>
        <w:p w14:paraId="6B77013B" w14:textId="77777777" w:rsidR="00CA36DF" w:rsidRPr="00B20305" w:rsidRDefault="00CA36DF" w:rsidP="00CA36DF">
          <w:pPr>
            <w:pStyle w:val="Header"/>
            <w:jc w:val="right"/>
            <w:rPr>
              <w:rFonts w:ascii="Garamond" w:hAnsi="Garamond"/>
              <w:color w:val="76923C"/>
              <w:sz w:val="24"/>
            </w:rPr>
          </w:pPr>
          <w:r w:rsidRPr="00B20305">
            <w:rPr>
              <w:rFonts w:ascii="Garamond" w:hAnsi="Garamond"/>
              <w:b/>
              <w:bCs/>
              <w:color w:val="76923C"/>
            </w:rPr>
            <w:t>[</w:t>
          </w:r>
          <w:r w:rsidRPr="002B1F0A">
            <w:rPr>
              <w:rFonts w:ascii="Garamond" w:hAnsi="Garamond"/>
              <w:b/>
              <w:bCs/>
              <w:lang w:val="id-ID"/>
            </w:rPr>
            <w:t>PENA JUSTISIA: MEDIA KOMUNIKASI DAN KAJIAN HUKUM</w:t>
          </w:r>
          <w:r w:rsidRPr="00B20305">
            <w:rPr>
              <w:rFonts w:ascii="Garamond" w:hAnsi="Garamond"/>
              <w:b/>
              <w:bCs/>
              <w:color w:val="76923C"/>
            </w:rPr>
            <w:t>]</w:t>
          </w:r>
        </w:p>
      </w:tc>
    </w:tr>
  </w:tbl>
  <w:p w14:paraId="2B4DA169" w14:textId="77777777" w:rsidR="00CA36DF" w:rsidRPr="00B20305" w:rsidRDefault="00CA36DF" w:rsidP="00CA36DF">
    <w:pPr>
      <w:pStyle w:val="Header"/>
      <w:rPr>
        <w:rFonts w:ascii="Garamond" w:hAnsi="Garamond"/>
      </w:rPr>
    </w:pPr>
  </w:p>
  <w:p w14:paraId="5C360E69" w14:textId="77777777" w:rsidR="00CA36DF" w:rsidRDefault="00CA36DF" w:rsidP="00CA36DF">
    <w:pPr>
      <w:pStyle w:val="Header"/>
    </w:pPr>
  </w:p>
  <w:p w14:paraId="59D34F37" w14:textId="51A0DAB7" w:rsidR="000E199B" w:rsidRPr="00CA36DF" w:rsidRDefault="000E199B" w:rsidP="00CA36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CA36DF" w:rsidRPr="00B20305" w14:paraId="1349E100" w14:textId="77777777" w:rsidTr="00D161DE">
      <w:tc>
        <w:tcPr>
          <w:tcW w:w="1297" w:type="pct"/>
          <w:tcBorders>
            <w:bottom w:val="single" w:sz="4" w:space="0" w:color="943634"/>
          </w:tcBorders>
          <w:shd w:val="clear" w:color="auto" w:fill="943634"/>
          <w:vAlign w:val="bottom"/>
        </w:tcPr>
        <w:p w14:paraId="20D3C71C" w14:textId="77777777" w:rsidR="00CA36DF" w:rsidRPr="00B20305" w:rsidRDefault="00CA36DF" w:rsidP="00CA36DF">
          <w:pPr>
            <w:pStyle w:val="Header"/>
            <w:jc w:val="center"/>
            <w:rPr>
              <w:rFonts w:ascii="Garamond" w:hAnsi="Garamond"/>
              <w:b/>
              <w:bCs/>
              <w:sz w:val="24"/>
              <w:szCs w:val="24"/>
              <w:lang w:val="id-ID"/>
            </w:rPr>
          </w:pPr>
          <w:r>
            <w:rPr>
              <w:rFonts w:ascii="Garamond" w:hAnsi="Garamond"/>
              <w:b/>
              <w:bCs/>
              <w:sz w:val="24"/>
              <w:szCs w:val="24"/>
              <w:lang w:val="id-ID"/>
            </w:rPr>
            <w:t>Pena Justisia</w:t>
          </w:r>
          <w:r w:rsidRPr="00B20305">
            <w:rPr>
              <w:rFonts w:ascii="Garamond" w:hAnsi="Garamond"/>
              <w:b/>
              <w:bCs/>
              <w:sz w:val="24"/>
              <w:szCs w:val="24"/>
              <w:lang w:val="id-ID"/>
            </w:rPr>
            <w:t>:</w:t>
          </w:r>
        </w:p>
        <w:p w14:paraId="778A4566" w14:textId="77777777" w:rsidR="00CA36DF" w:rsidRPr="00B20305" w:rsidRDefault="00CA36DF" w:rsidP="00CA36DF">
          <w:pPr>
            <w:pStyle w:val="Header"/>
            <w:ind w:left="-142"/>
            <w:jc w:val="center"/>
            <w:rPr>
              <w:rFonts w:ascii="Garamond" w:hAnsi="Garamond"/>
              <w:color w:val="FFFFFF"/>
            </w:rPr>
          </w:pPr>
          <w:r w:rsidRPr="00B20305">
            <w:rPr>
              <w:rFonts w:ascii="Garamond" w:hAnsi="Garamond"/>
              <w:b/>
              <w:bCs/>
              <w:sz w:val="16"/>
              <w:szCs w:val="16"/>
              <w:lang w:val="id-ID"/>
            </w:rPr>
            <w:t>Vol.</w:t>
          </w:r>
          <w:r>
            <w:rPr>
              <w:rFonts w:ascii="Garamond" w:hAnsi="Garamond"/>
              <w:b/>
              <w:bCs/>
              <w:sz w:val="16"/>
              <w:szCs w:val="16"/>
              <w:lang w:val="id-ID"/>
            </w:rPr>
            <w:t>..., No....</w:t>
          </w:r>
          <w:r w:rsidRPr="00B20305">
            <w:rPr>
              <w:rFonts w:ascii="Garamond" w:hAnsi="Garamond"/>
              <w:b/>
              <w:bCs/>
              <w:sz w:val="16"/>
              <w:szCs w:val="16"/>
              <w:lang w:val="id-ID"/>
            </w:rPr>
            <w:t xml:space="preserve">, </w:t>
          </w:r>
          <w:r>
            <w:rPr>
              <w:rFonts w:ascii="Garamond" w:hAnsi="Garamond"/>
              <w:b/>
              <w:bCs/>
              <w:sz w:val="16"/>
              <w:szCs w:val="16"/>
              <w:lang w:val="id-ID"/>
            </w:rPr>
            <w:t>Month .. Year</w:t>
          </w:r>
        </w:p>
      </w:tc>
      <w:tc>
        <w:tcPr>
          <w:tcW w:w="3703" w:type="pct"/>
          <w:tcBorders>
            <w:bottom w:val="single" w:sz="4" w:space="0" w:color="auto"/>
          </w:tcBorders>
          <w:vAlign w:val="bottom"/>
        </w:tcPr>
        <w:p w14:paraId="0E955E28" w14:textId="77777777" w:rsidR="00CA36DF" w:rsidRPr="00B20305" w:rsidRDefault="00CA36DF" w:rsidP="00CA36DF">
          <w:pPr>
            <w:pStyle w:val="Header"/>
            <w:jc w:val="right"/>
            <w:rPr>
              <w:rFonts w:ascii="Garamond" w:hAnsi="Garamond"/>
              <w:color w:val="76923C"/>
              <w:sz w:val="24"/>
            </w:rPr>
          </w:pPr>
          <w:r w:rsidRPr="00B20305">
            <w:rPr>
              <w:rFonts w:ascii="Garamond" w:hAnsi="Garamond"/>
              <w:b/>
              <w:bCs/>
              <w:color w:val="76923C"/>
            </w:rPr>
            <w:t>[</w:t>
          </w:r>
          <w:r w:rsidRPr="002B1F0A">
            <w:rPr>
              <w:rFonts w:ascii="Garamond" w:hAnsi="Garamond"/>
              <w:b/>
              <w:bCs/>
              <w:lang w:val="id-ID"/>
            </w:rPr>
            <w:t>PENA JUSTISIA: MEDIA KOMUNIKASI DAN KAJIAN HUKUM</w:t>
          </w:r>
          <w:r w:rsidRPr="00B20305">
            <w:rPr>
              <w:rFonts w:ascii="Garamond" w:hAnsi="Garamond"/>
              <w:b/>
              <w:bCs/>
              <w:color w:val="76923C"/>
            </w:rPr>
            <w:t>]</w:t>
          </w:r>
        </w:p>
      </w:tc>
    </w:tr>
  </w:tbl>
  <w:p w14:paraId="5E98D44E" w14:textId="77777777" w:rsidR="000E199B" w:rsidRPr="00CA36DF" w:rsidRDefault="000E199B" w:rsidP="00CA36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2B1F0A" w:rsidRPr="00B20305" w14:paraId="174C8D7D" w14:textId="77777777" w:rsidTr="00D161DE">
      <w:tc>
        <w:tcPr>
          <w:tcW w:w="1297" w:type="pct"/>
          <w:tcBorders>
            <w:bottom w:val="single" w:sz="4" w:space="0" w:color="943634"/>
          </w:tcBorders>
          <w:shd w:val="clear" w:color="auto" w:fill="943634"/>
          <w:vAlign w:val="bottom"/>
        </w:tcPr>
        <w:p w14:paraId="3DD58D6A" w14:textId="6073D725" w:rsidR="002B1F0A" w:rsidRPr="00B20305" w:rsidRDefault="002B1F0A" w:rsidP="002B1F0A">
          <w:pPr>
            <w:pStyle w:val="Header"/>
            <w:jc w:val="center"/>
            <w:rPr>
              <w:rFonts w:ascii="Garamond" w:hAnsi="Garamond"/>
              <w:b/>
              <w:bCs/>
              <w:sz w:val="24"/>
              <w:szCs w:val="24"/>
              <w:lang w:val="id-ID"/>
            </w:rPr>
          </w:pPr>
          <w:r>
            <w:rPr>
              <w:rFonts w:ascii="Garamond" w:hAnsi="Garamond"/>
              <w:b/>
              <w:bCs/>
              <w:sz w:val="24"/>
              <w:szCs w:val="24"/>
              <w:lang w:val="id-ID"/>
            </w:rPr>
            <w:t>Pena Justisia</w:t>
          </w:r>
          <w:r w:rsidRPr="00B20305">
            <w:rPr>
              <w:rFonts w:ascii="Garamond" w:hAnsi="Garamond"/>
              <w:b/>
              <w:bCs/>
              <w:sz w:val="24"/>
              <w:szCs w:val="24"/>
              <w:lang w:val="id-ID"/>
            </w:rPr>
            <w:t>:</w:t>
          </w:r>
        </w:p>
        <w:p w14:paraId="449EF379" w14:textId="2079298E" w:rsidR="002B1F0A" w:rsidRPr="00B20305" w:rsidRDefault="002B1F0A" w:rsidP="002B1F0A">
          <w:pPr>
            <w:pStyle w:val="Header"/>
            <w:ind w:left="-142"/>
            <w:jc w:val="center"/>
            <w:rPr>
              <w:rFonts w:ascii="Garamond" w:hAnsi="Garamond"/>
              <w:color w:val="FFFFFF"/>
            </w:rPr>
          </w:pPr>
          <w:r w:rsidRPr="00B20305">
            <w:rPr>
              <w:rFonts w:ascii="Garamond" w:hAnsi="Garamond"/>
              <w:b/>
              <w:bCs/>
              <w:sz w:val="16"/>
              <w:szCs w:val="16"/>
              <w:lang w:val="id-ID"/>
            </w:rPr>
            <w:t>Vol.</w:t>
          </w:r>
          <w:r>
            <w:rPr>
              <w:rFonts w:ascii="Garamond" w:hAnsi="Garamond"/>
              <w:b/>
              <w:bCs/>
              <w:sz w:val="16"/>
              <w:szCs w:val="16"/>
              <w:lang w:val="id-ID"/>
            </w:rPr>
            <w:t>..., No....</w:t>
          </w:r>
          <w:r w:rsidRPr="00B20305">
            <w:rPr>
              <w:rFonts w:ascii="Garamond" w:hAnsi="Garamond"/>
              <w:b/>
              <w:bCs/>
              <w:sz w:val="16"/>
              <w:szCs w:val="16"/>
              <w:lang w:val="id-ID"/>
            </w:rPr>
            <w:t xml:space="preserve">, </w:t>
          </w:r>
          <w:r>
            <w:rPr>
              <w:rFonts w:ascii="Garamond" w:hAnsi="Garamond"/>
              <w:b/>
              <w:bCs/>
              <w:sz w:val="16"/>
              <w:szCs w:val="16"/>
              <w:lang w:val="id-ID"/>
            </w:rPr>
            <w:t>Month .. Year</w:t>
          </w:r>
        </w:p>
      </w:tc>
      <w:tc>
        <w:tcPr>
          <w:tcW w:w="3703" w:type="pct"/>
          <w:tcBorders>
            <w:bottom w:val="single" w:sz="4" w:space="0" w:color="auto"/>
          </w:tcBorders>
          <w:vAlign w:val="bottom"/>
        </w:tcPr>
        <w:p w14:paraId="20EF4C3D" w14:textId="284C6C3A" w:rsidR="002B1F0A" w:rsidRPr="00B20305" w:rsidRDefault="002B1F0A" w:rsidP="002B1F0A">
          <w:pPr>
            <w:pStyle w:val="Header"/>
            <w:jc w:val="right"/>
            <w:rPr>
              <w:rFonts w:ascii="Garamond" w:hAnsi="Garamond"/>
              <w:color w:val="76923C"/>
              <w:sz w:val="24"/>
            </w:rPr>
          </w:pPr>
          <w:r w:rsidRPr="00B20305">
            <w:rPr>
              <w:rFonts w:ascii="Garamond" w:hAnsi="Garamond"/>
              <w:b/>
              <w:bCs/>
              <w:color w:val="76923C"/>
            </w:rPr>
            <w:t>[</w:t>
          </w:r>
          <w:r w:rsidRPr="002B1F0A">
            <w:rPr>
              <w:rFonts w:ascii="Garamond" w:hAnsi="Garamond"/>
              <w:b/>
              <w:bCs/>
              <w:lang w:val="id-ID"/>
            </w:rPr>
            <w:t>PENA JUSTISIA: MEDIA KOMUNIKASI DAN KAJIAN HUKUM</w:t>
          </w:r>
          <w:r w:rsidRPr="00B20305">
            <w:rPr>
              <w:rFonts w:ascii="Garamond" w:hAnsi="Garamond"/>
              <w:b/>
              <w:bCs/>
              <w:color w:val="76923C"/>
            </w:rPr>
            <w:t>]</w:t>
          </w:r>
        </w:p>
      </w:tc>
    </w:tr>
  </w:tbl>
  <w:p w14:paraId="6EDCB944" w14:textId="77777777" w:rsidR="002B1F0A" w:rsidRPr="00B20305" w:rsidRDefault="002B1F0A" w:rsidP="002B1F0A">
    <w:pPr>
      <w:pStyle w:val="Header"/>
      <w:rPr>
        <w:rFonts w:ascii="Garamond" w:hAnsi="Garamond"/>
      </w:rPr>
    </w:pPr>
  </w:p>
  <w:p w14:paraId="140FD11A" w14:textId="77777777" w:rsidR="002B1F0A" w:rsidRDefault="002B1F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B7A32"/>
    <w:multiLevelType w:val="hybridMultilevel"/>
    <w:tmpl w:val="FFFFFFFF"/>
    <w:lvl w:ilvl="0" w:tplc="4462F3A8">
      <w:start w:val="1"/>
      <w:numFmt w:val="bullet"/>
      <w:lvlText w:val="-"/>
      <w:lvlJc w:val="left"/>
      <w:pPr>
        <w:ind w:left="786" w:hanging="360"/>
      </w:pPr>
      <w:rPr>
        <w:rFonts w:ascii="Arial" w:eastAsia="Times New Roman" w:hAnsi="Arial" w:hint="default"/>
      </w:rPr>
    </w:lvl>
    <w:lvl w:ilvl="1" w:tplc="38090003" w:tentative="1">
      <w:start w:val="1"/>
      <w:numFmt w:val="bullet"/>
      <w:lvlText w:val="o"/>
      <w:lvlJc w:val="left"/>
      <w:pPr>
        <w:ind w:left="1506" w:hanging="360"/>
      </w:pPr>
      <w:rPr>
        <w:rFonts w:ascii="Courier New" w:hAnsi="Courier New" w:hint="default"/>
      </w:rPr>
    </w:lvl>
    <w:lvl w:ilvl="2" w:tplc="38090005" w:tentative="1">
      <w:start w:val="1"/>
      <w:numFmt w:val="bullet"/>
      <w:lvlText w:val=""/>
      <w:lvlJc w:val="left"/>
      <w:pPr>
        <w:ind w:left="2226" w:hanging="360"/>
      </w:pPr>
      <w:rPr>
        <w:rFonts w:ascii="Wingdings" w:hAnsi="Wingdings" w:hint="default"/>
      </w:rPr>
    </w:lvl>
    <w:lvl w:ilvl="3" w:tplc="38090001" w:tentative="1">
      <w:start w:val="1"/>
      <w:numFmt w:val="bullet"/>
      <w:lvlText w:val=""/>
      <w:lvlJc w:val="left"/>
      <w:pPr>
        <w:ind w:left="2946" w:hanging="360"/>
      </w:pPr>
      <w:rPr>
        <w:rFonts w:ascii="Symbol" w:hAnsi="Symbol" w:hint="default"/>
      </w:rPr>
    </w:lvl>
    <w:lvl w:ilvl="4" w:tplc="38090003" w:tentative="1">
      <w:start w:val="1"/>
      <w:numFmt w:val="bullet"/>
      <w:lvlText w:val="o"/>
      <w:lvlJc w:val="left"/>
      <w:pPr>
        <w:ind w:left="3666" w:hanging="360"/>
      </w:pPr>
      <w:rPr>
        <w:rFonts w:ascii="Courier New" w:hAnsi="Courier New" w:hint="default"/>
      </w:rPr>
    </w:lvl>
    <w:lvl w:ilvl="5" w:tplc="38090005" w:tentative="1">
      <w:start w:val="1"/>
      <w:numFmt w:val="bullet"/>
      <w:lvlText w:val=""/>
      <w:lvlJc w:val="left"/>
      <w:pPr>
        <w:ind w:left="4386" w:hanging="360"/>
      </w:pPr>
      <w:rPr>
        <w:rFonts w:ascii="Wingdings" w:hAnsi="Wingdings" w:hint="default"/>
      </w:rPr>
    </w:lvl>
    <w:lvl w:ilvl="6" w:tplc="38090001" w:tentative="1">
      <w:start w:val="1"/>
      <w:numFmt w:val="bullet"/>
      <w:lvlText w:val=""/>
      <w:lvlJc w:val="left"/>
      <w:pPr>
        <w:ind w:left="5106" w:hanging="360"/>
      </w:pPr>
      <w:rPr>
        <w:rFonts w:ascii="Symbol" w:hAnsi="Symbol" w:hint="default"/>
      </w:rPr>
    </w:lvl>
    <w:lvl w:ilvl="7" w:tplc="38090003" w:tentative="1">
      <w:start w:val="1"/>
      <w:numFmt w:val="bullet"/>
      <w:lvlText w:val="o"/>
      <w:lvlJc w:val="left"/>
      <w:pPr>
        <w:ind w:left="5826" w:hanging="360"/>
      </w:pPr>
      <w:rPr>
        <w:rFonts w:ascii="Courier New" w:hAnsi="Courier New" w:hint="default"/>
      </w:rPr>
    </w:lvl>
    <w:lvl w:ilvl="8" w:tplc="38090005" w:tentative="1">
      <w:start w:val="1"/>
      <w:numFmt w:val="bullet"/>
      <w:lvlText w:val=""/>
      <w:lvlJc w:val="left"/>
      <w:pPr>
        <w:ind w:left="6546" w:hanging="360"/>
      </w:pPr>
      <w:rPr>
        <w:rFonts w:ascii="Wingdings" w:hAnsi="Wingdings" w:hint="default"/>
      </w:rPr>
    </w:lvl>
  </w:abstractNum>
  <w:abstractNum w:abstractNumId="1" w15:restartNumberingAfterBreak="0">
    <w:nsid w:val="08F97C5A"/>
    <w:multiLevelType w:val="multilevel"/>
    <w:tmpl w:val="C9FE91F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909498D"/>
    <w:multiLevelType w:val="hybridMultilevel"/>
    <w:tmpl w:val="F9CA523C"/>
    <w:lvl w:ilvl="0" w:tplc="271A95C6">
      <w:start w:val="1"/>
      <w:numFmt w:val="upperRoman"/>
      <w:lvlText w:val="%1."/>
      <w:lvlJc w:val="right"/>
      <w:pPr>
        <w:ind w:left="720" w:hanging="360"/>
      </w:pPr>
      <w:rPr>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A477077"/>
    <w:multiLevelType w:val="hybridMultilevel"/>
    <w:tmpl w:val="BF080682"/>
    <w:lvl w:ilvl="0" w:tplc="04210013">
      <w:start w:val="1"/>
      <w:numFmt w:val="upp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25D1E5A"/>
    <w:multiLevelType w:val="hybridMultilevel"/>
    <w:tmpl w:val="4F9EB8B2"/>
    <w:lvl w:ilvl="0" w:tplc="A1C46708">
      <w:start w:val="2"/>
      <w:numFmt w:val="decimal"/>
      <w:lvlText w:val="3.3.%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4471330"/>
    <w:multiLevelType w:val="multilevel"/>
    <w:tmpl w:val="B02E3FD6"/>
    <w:styleLink w:val="Style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B23EC1"/>
    <w:multiLevelType w:val="hybridMultilevel"/>
    <w:tmpl w:val="4A003BD6"/>
    <w:lvl w:ilvl="0" w:tplc="C3B0E3F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19297FF7"/>
    <w:multiLevelType w:val="hybridMultilevel"/>
    <w:tmpl w:val="FFAC0DA2"/>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15:restartNumberingAfterBreak="0">
    <w:nsid w:val="1A61291A"/>
    <w:multiLevelType w:val="hybridMultilevel"/>
    <w:tmpl w:val="1CA67C84"/>
    <w:lvl w:ilvl="0" w:tplc="7846B640">
      <w:start w:val="1"/>
      <w:numFmt w:val="decimal"/>
      <w:lvlText w:val="3.2.%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C605243"/>
    <w:multiLevelType w:val="hybridMultilevel"/>
    <w:tmpl w:val="3984E9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EED1F63"/>
    <w:multiLevelType w:val="hybridMultilevel"/>
    <w:tmpl w:val="811C9E80"/>
    <w:lvl w:ilvl="0" w:tplc="61601844">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9F1481"/>
    <w:multiLevelType w:val="multilevel"/>
    <w:tmpl w:val="9056A5F4"/>
    <w:lvl w:ilvl="0">
      <w:start w:val="3"/>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15" w15:restartNumberingAfterBreak="0">
    <w:nsid w:val="222E0811"/>
    <w:multiLevelType w:val="hybridMultilevel"/>
    <w:tmpl w:val="A448EB90"/>
    <w:lvl w:ilvl="0" w:tplc="70527E24">
      <w:start w:val="1"/>
      <w:numFmt w:val="bullet"/>
      <w:lvlText w:val=""/>
      <w:lvlJc w:val="left"/>
      <w:pPr>
        <w:ind w:left="720" w:hanging="360"/>
      </w:pPr>
      <w:rPr>
        <w:rFonts w:ascii="Symbol" w:hAnsi="Symbol" w:hint="default"/>
        <w:sz w:val="28"/>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15:restartNumberingAfterBreak="0">
    <w:nsid w:val="231351FB"/>
    <w:multiLevelType w:val="hybridMultilevel"/>
    <w:tmpl w:val="B980F556"/>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7" w15:restartNumberingAfterBreak="0">
    <w:nsid w:val="2B2D1CAC"/>
    <w:multiLevelType w:val="hybridMultilevel"/>
    <w:tmpl w:val="FFFFFFFF"/>
    <w:lvl w:ilvl="0" w:tplc="4462F3A8">
      <w:start w:val="1"/>
      <w:numFmt w:val="bullet"/>
      <w:lvlText w:val="-"/>
      <w:lvlJc w:val="left"/>
      <w:pPr>
        <w:ind w:left="786" w:hanging="360"/>
      </w:pPr>
      <w:rPr>
        <w:rFonts w:ascii="Arial" w:eastAsia="Times New Roman" w:hAnsi="Arial"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8" w15:restartNumberingAfterBreak="0">
    <w:nsid w:val="2C2250F8"/>
    <w:multiLevelType w:val="hybridMultilevel"/>
    <w:tmpl w:val="3032748E"/>
    <w:lvl w:ilvl="0" w:tplc="C72C9DA4">
      <w:start w:val="2"/>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2DC92A11"/>
    <w:multiLevelType w:val="hybridMultilevel"/>
    <w:tmpl w:val="F6B89910"/>
    <w:lvl w:ilvl="0" w:tplc="99D871B0">
      <w:start w:val="3"/>
      <w:numFmt w:val="decimal"/>
      <w:lvlText w:val="3.%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0" w15:restartNumberingAfterBreak="0">
    <w:nsid w:val="2E077EB9"/>
    <w:multiLevelType w:val="hybridMultilevel"/>
    <w:tmpl w:val="DF8E0BFE"/>
    <w:lvl w:ilvl="0" w:tplc="4FF83210">
      <w:start w:val="1"/>
      <w:numFmt w:val="decimal"/>
      <w:lvlText w:val="3.2.%1"/>
      <w:lvlJc w:val="left"/>
      <w:pPr>
        <w:ind w:left="720" w:hanging="360"/>
      </w:pPr>
      <w:rPr>
        <w:rFonts w:hint="default"/>
        <w:b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360A5BA6"/>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8305A9F"/>
    <w:multiLevelType w:val="hybridMultilevel"/>
    <w:tmpl w:val="ACA6DE22"/>
    <w:lvl w:ilvl="0" w:tplc="B1187D92">
      <w:start w:val="1"/>
      <w:numFmt w:val="decimal"/>
      <w:lvlText w:val="3.2.%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7A1E28"/>
    <w:multiLevelType w:val="hybridMultilevel"/>
    <w:tmpl w:val="3C1EDB34"/>
    <w:lvl w:ilvl="0" w:tplc="90102A82">
      <w:start w:val="1"/>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3AD94EFB"/>
    <w:multiLevelType w:val="hybridMultilevel"/>
    <w:tmpl w:val="770439CC"/>
    <w:lvl w:ilvl="0" w:tplc="25A80A54">
      <w:start w:val="1"/>
      <w:numFmt w:val="decimal"/>
      <w:lvlText w:val="1.%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3B877C3D"/>
    <w:multiLevelType w:val="multilevel"/>
    <w:tmpl w:val="C1C63D0A"/>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29"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92A05B1"/>
    <w:multiLevelType w:val="hybridMultilevel"/>
    <w:tmpl w:val="47446B62"/>
    <w:lvl w:ilvl="0" w:tplc="F0F48906">
      <w:start w:val="1"/>
      <w:numFmt w:val="decimal"/>
      <w:lvlText w:val="4.%1"/>
      <w:lvlJc w:val="left"/>
      <w:pPr>
        <w:ind w:left="720" w:hanging="360"/>
      </w:pPr>
      <w:rPr>
        <w:rFonts w:hint="default"/>
        <w:b/>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B071507"/>
    <w:multiLevelType w:val="hybridMultilevel"/>
    <w:tmpl w:val="77403B24"/>
    <w:lvl w:ilvl="0" w:tplc="22662472">
      <w:start w:val="3"/>
      <w:numFmt w:val="decimal"/>
      <w:lvlText w:val="%1."/>
      <w:lvlJc w:val="left"/>
      <w:pPr>
        <w:ind w:left="720" w:hanging="360"/>
      </w:pPr>
      <w:rPr>
        <w:rFonts w:hint="default"/>
        <w:b w:val="0"/>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4CC2021A"/>
    <w:multiLevelType w:val="multilevel"/>
    <w:tmpl w:val="B02E3FD6"/>
    <w:numStyleLink w:val="Style1"/>
  </w:abstractNum>
  <w:abstractNum w:abstractNumId="34" w15:restartNumberingAfterBreak="0">
    <w:nsid w:val="51FB433A"/>
    <w:multiLevelType w:val="hybridMultilevel"/>
    <w:tmpl w:val="B12EAC18"/>
    <w:lvl w:ilvl="0" w:tplc="90102A82">
      <w:start w:val="1"/>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36"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77857C1"/>
    <w:multiLevelType w:val="hybridMultilevel"/>
    <w:tmpl w:val="5B32F5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41" w15:restartNumberingAfterBreak="0">
    <w:nsid w:val="65A23480"/>
    <w:multiLevelType w:val="hybridMultilevel"/>
    <w:tmpl w:val="E53CC32E"/>
    <w:lvl w:ilvl="0" w:tplc="ED686DE4">
      <w:start w:val="1"/>
      <w:numFmt w:val="decimal"/>
      <w:lvlText w:val="[%1]"/>
      <w:lvlJc w:val="left"/>
      <w:pPr>
        <w:tabs>
          <w:tab w:val="num" w:pos="360"/>
        </w:tabs>
        <w:ind w:left="360" w:hanging="360"/>
      </w:pPr>
      <w:rPr>
        <w:rFonts w:hint="default"/>
      </w:rPr>
    </w:lvl>
    <w:lvl w:ilvl="1" w:tplc="1F30ED42" w:tentative="1">
      <w:start w:val="1"/>
      <w:numFmt w:val="lowerLetter"/>
      <w:lvlText w:val="%2."/>
      <w:lvlJc w:val="left"/>
      <w:pPr>
        <w:tabs>
          <w:tab w:val="num" w:pos="-458"/>
        </w:tabs>
        <w:ind w:left="-458" w:hanging="360"/>
      </w:pPr>
    </w:lvl>
    <w:lvl w:ilvl="2" w:tplc="C040DED2" w:tentative="1">
      <w:start w:val="1"/>
      <w:numFmt w:val="lowerRoman"/>
      <w:lvlText w:val="%3."/>
      <w:lvlJc w:val="right"/>
      <w:pPr>
        <w:tabs>
          <w:tab w:val="num" w:pos="262"/>
        </w:tabs>
        <w:ind w:left="262" w:hanging="180"/>
      </w:pPr>
    </w:lvl>
    <w:lvl w:ilvl="3" w:tplc="DE18C820" w:tentative="1">
      <w:start w:val="1"/>
      <w:numFmt w:val="decimal"/>
      <w:lvlText w:val="%4."/>
      <w:lvlJc w:val="left"/>
      <w:pPr>
        <w:tabs>
          <w:tab w:val="num" w:pos="982"/>
        </w:tabs>
        <w:ind w:left="982" w:hanging="360"/>
      </w:pPr>
    </w:lvl>
    <w:lvl w:ilvl="4" w:tplc="075A4E98" w:tentative="1">
      <w:start w:val="1"/>
      <w:numFmt w:val="lowerLetter"/>
      <w:lvlText w:val="%5."/>
      <w:lvlJc w:val="left"/>
      <w:pPr>
        <w:tabs>
          <w:tab w:val="num" w:pos="1702"/>
        </w:tabs>
        <w:ind w:left="1702" w:hanging="360"/>
      </w:pPr>
    </w:lvl>
    <w:lvl w:ilvl="5" w:tplc="728CF2D4" w:tentative="1">
      <w:start w:val="1"/>
      <w:numFmt w:val="lowerRoman"/>
      <w:lvlText w:val="%6."/>
      <w:lvlJc w:val="right"/>
      <w:pPr>
        <w:tabs>
          <w:tab w:val="num" w:pos="2422"/>
        </w:tabs>
        <w:ind w:left="2422" w:hanging="180"/>
      </w:pPr>
    </w:lvl>
    <w:lvl w:ilvl="6" w:tplc="38322716" w:tentative="1">
      <w:start w:val="1"/>
      <w:numFmt w:val="decimal"/>
      <w:lvlText w:val="%7."/>
      <w:lvlJc w:val="left"/>
      <w:pPr>
        <w:tabs>
          <w:tab w:val="num" w:pos="3142"/>
        </w:tabs>
        <w:ind w:left="3142" w:hanging="360"/>
      </w:pPr>
    </w:lvl>
    <w:lvl w:ilvl="7" w:tplc="E896667E" w:tentative="1">
      <w:start w:val="1"/>
      <w:numFmt w:val="lowerLetter"/>
      <w:lvlText w:val="%8."/>
      <w:lvlJc w:val="left"/>
      <w:pPr>
        <w:tabs>
          <w:tab w:val="num" w:pos="3862"/>
        </w:tabs>
        <w:ind w:left="3862" w:hanging="360"/>
      </w:pPr>
    </w:lvl>
    <w:lvl w:ilvl="8" w:tplc="641C0052" w:tentative="1">
      <w:start w:val="1"/>
      <w:numFmt w:val="lowerRoman"/>
      <w:lvlText w:val="%9."/>
      <w:lvlJc w:val="right"/>
      <w:pPr>
        <w:tabs>
          <w:tab w:val="num" w:pos="4582"/>
        </w:tabs>
        <w:ind w:left="4582" w:hanging="180"/>
      </w:pPr>
    </w:lvl>
  </w:abstractNum>
  <w:abstractNum w:abstractNumId="42" w15:restartNumberingAfterBreak="0">
    <w:nsid w:val="65F71107"/>
    <w:multiLevelType w:val="hybridMultilevel"/>
    <w:tmpl w:val="A496AF68"/>
    <w:lvl w:ilvl="0" w:tplc="04210001">
      <w:start w:val="1"/>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15:restartNumberingAfterBreak="0">
    <w:nsid w:val="69790F40"/>
    <w:multiLevelType w:val="hybridMultilevel"/>
    <w:tmpl w:val="6778F0CE"/>
    <w:lvl w:ilvl="0" w:tplc="F2229E40">
      <w:start w:val="2"/>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45" w15:restartNumberingAfterBreak="0">
    <w:nsid w:val="6EB85C0C"/>
    <w:multiLevelType w:val="hybridMultilevel"/>
    <w:tmpl w:val="FFFFFFFF"/>
    <w:lvl w:ilvl="0" w:tplc="6C1CE05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6F502F35"/>
    <w:multiLevelType w:val="hybridMultilevel"/>
    <w:tmpl w:val="F564C352"/>
    <w:lvl w:ilvl="0" w:tplc="69D811EC">
      <w:start w:val="1"/>
      <w:numFmt w:val="decimal"/>
      <w:lvlText w:val="%1."/>
      <w:lvlJc w:val="left"/>
      <w:pPr>
        <w:ind w:left="720" w:hanging="360"/>
      </w:pPr>
      <w:rPr>
        <w:rFonts w:hint="default"/>
      </w:rPr>
    </w:lvl>
    <w:lvl w:ilvl="1" w:tplc="CAB6634A" w:tentative="1">
      <w:start w:val="1"/>
      <w:numFmt w:val="lowerLetter"/>
      <w:lvlText w:val="%2."/>
      <w:lvlJc w:val="left"/>
      <w:pPr>
        <w:ind w:left="1440" w:hanging="360"/>
      </w:pPr>
    </w:lvl>
    <w:lvl w:ilvl="2" w:tplc="7A8CC6A2" w:tentative="1">
      <w:start w:val="1"/>
      <w:numFmt w:val="lowerRoman"/>
      <w:lvlText w:val="%3."/>
      <w:lvlJc w:val="right"/>
      <w:pPr>
        <w:ind w:left="2160" w:hanging="180"/>
      </w:pPr>
    </w:lvl>
    <w:lvl w:ilvl="3" w:tplc="CA048068" w:tentative="1">
      <w:start w:val="1"/>
      <w:numFmt w:val="decimal"/>
      <w:lvlText w:val="%4."/>
      <w:lvlJc w:val="left"/>
      <w:pPr>
        <w:ind w:left="2880" w:hanging="360"/>
      </w:pPr>
    </w:lvl>
    <w:lvl w:ilvl="4" w:tplc="A64066DA" w:tentative="1">
      <w:start w:val="1"/>
      <w:numFmt w:val="lowerLetter"/>
      <w:lvlText w:val="%5."/>
      <w:lvlJc w:val="left"/>
      <w:pPr>
        <w:ind w:left="3600" w:hanging="360"/>
      </w:pPr>
    </w:lvl>
    <w:lvl w:ilvl="5" w:tplc="5510C43E" w:tentative="1">
      <w:start w:val="1"/>
      <w:numFmt w:val="lowerRoman"/>
      <w:lvlText w:val="%6."/>
      <w:lvlJc w:val="right"/>
      <w:pPr>
        <w:ind w:left="4320" w:hanging="180"/>
      </w:pPr>
    </w:lvl>
    <w:lvl w:ilvl="6" w:tplc="FCFCD41C" w:tentative="1">
      <w:start w:val="1"/>
      <w:numFmt w:val="decimal"/>
      <w:lvlText w:val="%7."/>
      <w:lvlJc w:val="left"/>
      <w:pPr>
        <w:ind w:left="5040" w:hanging="360"/>
      </w:pPr>
    </w:lvl>
    <w:lvl w:ilvl="7" w:tplc="C6BA793E" w:tentative="1">
      <w:start w:val="1"/>
      <w:numFmt w:val="lowerLetter"/>
      <w:lvlText w:val="%8."/>
      <w:lvlJc w:val="left"/>
      <w:pPr>
        <w:ind w:left="5760" w:hanging="360"/>
      </w:pPr>
    </w:lvl>
    <w:lvl w:ilvl="8" w:tplc="E09429C6" w:tentative="1">
      <w:start w:val="1"/>
      <w:numFmt w:val="lowerRoman"/>
      <w:lvlText w:val="%9."/>
      <w:lvlJc w:val="right"/>
      <w:pPr>
        <w:ind w:left="6480" w:hanging="180"/>
      </w:pPr>
    </w:lvl>
  </w:abstractNum>
  <w:abstractNum w:abstractNumId="47" w15:restartNumberingAfterBreak="0">
    <w:nsid w:val="78A06904"/>
    <w:multiLevelType w:val="hybridMultilevel"/>
    <w:tmpl w:val="F5566EA2"/>
    <w:lvl w:ilvl="0" w:tplc="F15E6856">
      <w:numFmt w:val="decimal"/>
      <w:lvlText w:val="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15:restartNumberingAfterBreak="0">
    <w:nsid w:val="7D4C2317"/>
    <w:multiLevelType w:val="hybridMultilevel"/>
    <w:tmpl w:val="FFFFFFFF"/>
    <w:lvl w:ilvl="0" w:tplc="6E1A43BC">
      <w:start w:val="1"/>
      <w:numFmt w:val="upperLetter"/>
      <w:lvlText w:val="%1."/>
      <w:lvlJc w:val="left"/>
      <w:pPr>
        <w:ind w:left="720" w:hanging="360"/>
      </w:pPr>
      <w:rPr>
        <w:rFonts w:cs="Times New Roman" w:hint="default"/>
        <w:b/>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766266843">
    <w:abstractNumId w:val="40"/>
  </w:num>
  <w:num w:numId="2" w16cid:durableId="1730573861">
    <w:abstractNumId w:val="35"/>
  </w:num>
  <w:num w:numId="3" w16cid:durableId="893279326">
    <w:abstractNumId w:val="44"/>
  </w:num>
  <w:num w:numId="4" w16cid:durableId="1815638102">
    <w:abstractNumId w:val="31"/>
  </w:num>
  <w:num w:numId="5" w16cid:durableId="44448565">
    <w:abstractNumId w:val="38"/>
  </w:num>
  <w:num w:numId="6" w16cid:durableId="1432510387">
    <w:abstractNumId w:val="41"/>
  </w:num>
  <w:num w:numId="7" w16cid:durableId="339741190">
    <w:abstractNumId w:val="39"/>
  </w:num>
  <w:num w:numId="8" w16cid:durableId="879559290">
    <w:abstractNumId w:val="36"/>
  </w:num>
  <w:num w:numId="9" w16cid:durableId="329874690">
    <w:abstractNumId w:val="29"/>
  </w:num>
  <w:num w:numId="10" w16cid:durableId="1506901287">
    <w:abstractNumId w:val="11"/>
  </w:num>
  <w:num w:numId="11" w16cid:durableId="1221936631">
    <w:abstractNumId w:val="10"/>
  </w:num>
  <w:num w:numId="12" w16cid:durableId="1490243077">
    <w:abstractNumId w:val="23"/>
  </w:num>
  <w:num w:numId="13" w16cid:durableId="1574120589">
    <w:abstractNumId w:val="13"/>
  </w:num>
  <w:num w:numId="14" w16cid:durableId="797533386">
    <w:abstractNumId w:val="25"/>
  </w:num>
  <w:num w:numId="15" w16cid:durableId="961496771">
    <w:abstractNumId w:val="46"/>
  </w:num>
  <w:num w:numId="16" w16cid:durableId="736590461">
    <w:abstractNumId w:val="27"/>
  </w:num>
  <w:num w:numId="17" w16cid:durableId="619604150">
    <w:abstractNumId w:val="16"/>
  </w:num>
  <w:num w:numId="18" w16cid:durableId="1157574916">
    <w:abstractNumId w:val="2"/>
  </w:num>
  <w:num w:numId="19" w16cid:durableId="328099618">
    <w:abstractNumId w:val="3"/>
  </w:num>
  <w:num w:numId="20" w16cid:durableId="1455370080">
    <w:abstractNumId w:val="19"/>
  </w:num>
  <w:num w:numId="21" w16cid:durableId="1779370191">
    <w:abstractNumId w:val="12"/>
  </w:num>
  <w:num w:numId="22" w16cid:durableId="837189256">
    <w:abstractNumId w:val="4"/>
  </w:num>
  <w:num w:numId="23" w16cid:durableId="1100640864">
    <w:abstractNumId w:val="43"/>
  </w:num>
  <w:num w:numId="24" w16cid:durableId="912472880">
    <w:abstractNumId w:val="26"/>
  </w:num>
  <w:num w:numId="25" w16cid:durableId="1340500960">
    <w:abstractNumId w:val="8"/>
  </w:num>
  <w:num w:numId="26" w16cid:durableId="1237662946">
    <w:abstractNumId w:val="24"/>
  </w:num>
  <w:num w:numId="27" w16cid:durableId="25257163">
    <w:abstractNumId w:val="20"/>
  </w:num>
  <w:num w:numId="28" w16cid:durableId="1076778086">
    <w:abstractNumId w:val="34"/>
  </w:num>
  <w:num w:numId="29" w16cid:durableId="1646549074">
    <w:abstractNumId w:val="47"/>
  </w:num>
  <w:num w:numId="30" w16cid:durableId="1859389381">
    <w:abstractNumId w:val="18"/>
  </w:num>
  <w:num w:numId="31" w16cid:durableId="1583830808">
    <w:abstractNumId w:val="15"/>
  </w:num>
  <w:num w:numId="32" w16cid:durableId="102920244">
    <w:abstractNumId w:val="30"/>
  </w:num>
  <w:num w:numId="33" w16cid:durableId="659233899">
    <w:abstractNumId w:val="42"/>
  </w:num>
  <w:num w:numId="34" w16cid:durableId="2146043013">
    <w:abstractNumId w:val="1"/>
  </w:num>
  <w:num w:numId="35" w16cid:durableId="497231229">
    <w:abstractNumId w:val="9"/>
  </w:num>
  <w:num w:numId="36" w16cid:durableId="1009062343">
    <w:abstractNumId w:val="7"/>
  </w:num>
  <w:num w:numId="37" w16cid:durableId="400913195">
    <w:abstractNumId w:val="28"/>
  </w:num>
  <w:num w:numId="38" w16cid:durableId="1122066695">
    <w:abstractNumId w:val="32"/>
  </w:num>
  <w:num w:numId="39" w16cid:durableId="1034690562">
    <w:abstractNumId w:val="6"/>
  </w:num>
  <w:num w:numId="40" w16cid:durableId="280456651">
    <w:abstractNumId w:val="37"/>
  </w:num>
  <w:num w:numId="41" w16cid:durableId="917637451">
    <w:abstractNumId w:val="14"/>
  </w:num>
  <w:num w:numId="42" w16cid:durableId="245847814">
    <w:abstractNumId w:val="22"/>
  </w:num>
  <w:num w:numId="43" w16cid:durableId="1341928556">
    <w:abstractNumId w:val="33"/>
  </w:num>
  <w:num w:numId="44" w16cid:durableId="1232883117">
    <w:abstractNumId w:val="5"/>
  </w:num>
  <w:num w:numId="45" w16cid:durableId="1249853227">
    <w:abstractNumId w:val="21"/>
  </w:num>
  <w:num w:numId="46" w16cid:durableId="287902455">
    <w:abstractNumId w:val="17"/>
  </w:num>
  <w:num w:numId="47" w16cid:durableId="1765371151">
    <w:abstractNumId w:val="48"/>
  </w:num>
  <w:num w:numId="48" w16cid:durableId="652679328">
    <w:abstractNumId w:val="0"/>
  </w:num>
  <w:num w:numId="49" w16cid:durableId="33583372">
    <w:abstractNumId w:val="4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86C"/>
    <w:rsid w:val="000013CF"/>
    <w:rsid w:val="00002882"/>
    <w:rsid w:val="0000385F"/>
    <w:rsid w:val="00005EFC"/>
    <w:rsid w:val="00007744"/>
    <w:rsid w:val="000106D0"/>
    <w:rsid w:val="00012CEF"/>
    <w:rsid w:val="00013825"/>
    <w:rsid w:val="000142B3"/>
    <w:rsid w:val="00014633"/>
    <w:rsid w:val="00015F2A"/>
    <w:rsid w:val="00017858"/>
    <w:rsid w:val="00021BF8"/>
    <w:rsid w:val="00027142"/>
    <w:rsid w:val="0002767D"/>
    <w:rsid w:val="000279BE"/>
    <w:rsid w:val="00034C84"/>
    <w:rsid w:val="000416A3"/>
    <w:rsid w:val="000437AE"/>
    <w:rsid w:val="000474E3"/>
    <w:rsid w:val="00047710"/>
    <w:rsid w:val="000523C5"/>
    <w:rsid w:val="00053FB7"/>
    <w:rsid w:val="0006020A"/>
    <w:rsid w:val="00060330"/>
    <w:rsid w:val="00060914"/>
    <w:rsid w:val="00060F5C"/>
    <w:rsid w:val="00061D77"/>
    <w:rsid w:val="00062720"/>
    <w:rsid w:val="000659C1"/>
    <w:rsid w:val="00065CB9"/>
    <w:rsid w:val="00066063"/>
    <w:rsid w:val="0007154C"/>
    <w:rsid w:val="00071CFF"/>
    <w:rsid w:val="0007236F"/>
    <w:rsid w:val="00073635"/>
    <w:rsid w:val="00076C16"/>
    <w:rsid w:val="000776D4"/>
    <w:rsid w:val="00080CCD"/>
    <w:rsid w:val="000830A2"/>
    <w:rsid w:val="00083B9D"/>
    <w:rsid w:val="00083DD6"/>
    <w:rsid w:val="00085121"/>
    <w:rsid w:val="00086551"/>
    <w:rsid w:val="000877AC"/>
    <w:rsid w:val="00087876"/>
    <w:rsid w:val="00087AF7"/>
    <w:rsid w:val="00090B78"/>
    <w:rsid w:val="00093380"/>
    <w:rsid w:val="00093C09"/>
    <w:rsid w:val="00094EB8"/>
    <w:rsid w:val="00095C3E"/>
    <w:rsid w:val="00096883"/>
    <w:rsid w:val="000973CC"/>
    <w:rsid w:val="00097958"/>
    <w:rsid w:val="00097E2D"/>
    <w:rsid w:val="000A059F"/>
    <w:rsid w:val="000A15DA"/>
    <w:rsid w:val="000A592D"/>
    <w:rsid w:val="000A643C"/>
    <w:rsid w:val="000A7ACA"/>
    <w:rsid w:val="000B0641"/>
    <w:rsid w:val="000B5480"/>
    <w:rsid w:val="000B682B"/>
    <w:rsid w:val="000C020C"/>
    <w:rsid w:val="000C03DA"/>
    <w:rsid w:val="000C0CDD"/>
    <w:rsid w:val="000C11B6"/>
    <w:rsid w:val="000C4B17"/>
    <w:rsid w:val="000C67A4"/>
    <w:rsid w:val="000C730A"/>
    <w:rsid w:val="000D0626"/>
    <w:rsid w:val="000D099B"/>
    <w:rsid w:val="000D248B"/>
    <w:rsid w:val="000D50C8"/>
    <w:rsid w:val="000D6591"/>
    <w:rsid w:val="000D6BC3"/>
    <w:rsid w:val="000E0AE1"/>
    <w:rsid w:val="000E0C84"/>
    <w:rsid w:val="000E0CE9"/>
    <w:rsid w:val="000E0E3C"/>
    <w:rsid w:val="000E199B"/>
    <w:rsid w:val="000E1C9D"/>
    <w:rsid w:val="000E28E0"/>
    <w:rsid w:val="000E4FD6"/>
    <w:rsid w:val="000E708C"/>
    <w:rsid w:val="000F279B"/>
    <w:rsid w:val="000F29E1"/>
    <w:rsid w:val="000F61E2"/>
    <w:rsid w:val="000F7ED5"/>
    <w:rsid w:val="0010046E"/>
    <w:rsid w:val="00102377"/>
    <w:rsid w:val="00102A61"/>
    <w:rsid w:val="001041EB"/>
    <w:rsid w:val="00104BF1"/>
    <w:rsid w:val="00106F02"/>
    <w:rsid w:val="001078A8"/>
    <w:rsid w:val="00107904"/>
    <w:rsid w:val="001108E2"/>
    <w:rsid w:val="001129DE"/>
    <w:rsid w:val="0011369D"/>
    <w:rsid w:val="00113CE6"/>
    <w:rsid w:val="00113F18"/>
    <w:rsid w:val="00114470"/>
    <w:rsid w:val="001172A5"/>
    <w:rsid w:val="00117326"/>
    <w:rsid w:val="00117C85"/>
    <w:rsid w:val="00121C37"/>
    <w:rsid w:val="00122833"/>
    <w:rsid w:val="00123036"/>
    <w:rsid w:val="00123165"/>
    <w:rsid w:val="00125C41"/>
    <w:rsid w:val="00126B1A"/>
    <w:rsid w:val="00130C98"/>
    <w:rsid w:val="0013179E"/>
    <w:rsid w:val="00131A6C"/>
    <w:rsid w:val="00131E4C"/>
    <w:rsid w:val="00132FB2"/>
    <w:rsid w:val="00133B59"/>
    <w:rsid w:val="00134CC4"/>
    <w:rsid w:val="00136716"/>
    <w:rsid w:val="00137465"/>
    <w:rsid w:val="00137A07"/>
    <w:rsid w:val="00137E25"/>
    <w:rsid w:val="00137F36"/>
    <w:rsid w:val="0014064B"/>
    <w:rsid w:val="001434C3"/>
    <w:rsid w:val="00143A0D"/>
    <w:rsid w:val="001441CB"/>
    <w:rsid w:val="00145201"/>
    <w:rsid w:val="0014526D"/>
    <w:rsid w:val="00145453"/>
    <w:rsid w:val="0014611F"/>
    <w:rsid w:val="00146861"/>
    <w:rsid w:val="001470F3"/>
    <w:rsid w:val="001501BE"/>
    <w:rsid w:val="001517E4"/>
    <w:rsid w:val="00151E7C"/>
    <w:rsid w:val="0015221A"/>
    <w:rsid w:val="001522FB"/>
    <w:rsid w:val="001523D9"/>
    <w:rsid w:val="001530A3"/>
    <w:rsid w:val="00153387"/>
    <w:rsid w:val="00154C55"/>
    <w:rsid w:val="00157C06"/>
    <w:rsid w:val="00161845"/>
    <w:rsid w:val="001620CD"/>
    <w:rsid w:val="00162849"/>
    <w:rsid w:val="00166432"/>
    <w:rsid w:val="00167012"/>
    <w:rsid w:val="001671A8"/>
    <w:rsid w:val="0016761A"/>
    <w:rsid w:val="00167BE2"/>
    <w:rsid w:val="0017238E"/>
    <w:rsid w:val="00177E2C"/>
    <w:rsid w:val="00180992"/>
    <w:rsid w:val="00180FD2"/>
    <w:rsid w:val="00180FD4"/>
    <w:rsid w:val="00181509"/>
    <w:rsid w:val="00181965"/>
    <w:rsid w:val="00185202"/>
    <w:rsid w:val="00186D3B"/>
    <w:rsid w:val="00187B69"/>
    <w:rsid w:val="0019050C"/>
    <w:rsid w:val="00192E8C"/>
    <w:rsid w:val="0019391D"/>
    <w:rsid w:val="00194280"/>
    <w:rsid w:val="00195579"/>
    <w:rsid w:val="001A0839"/>
    <w:rsid w:val="001A33EF"/>
    <w:rsid w:val="001B2439"/>
    <w:rsid w:val="001B2EF9"/>
    <w:rsid w:val="001B4AB3"/>
    <w:rsid w:val="001B5250"/>
    <w:rsid w:val="001B5719"/>
    <w:rsid w:val="001B621C"/>
    <w:rsid w:val="001B64D0"/>
    <w:rsid w:val="001B7713"/>
    <w:rsid w:val="001B7915"/>
    <w:rsid w:val="001C0FE6"/>
    <w:rsid w:val="001C19EB"/>
    <w:rsid w:val="001C1DDC"/>
    <w:rsid w:val="001C5D85"/>
    <w:rsid w:val="001C7AC5"/>
    <w:rsid w:val="001D04CA"/>
    <w:rsid w:val="001D19C3"/>
    <w:rsid w:val="001D218B"/>
    <w:rsid w:val="001E026F"/>
    <w:rsid w:val="001E1922"/>
    <w:rsid w:val="001E2071"/>
    <w:rsid w:val="001E5CFB"/>
    <w:rsid w:val="001E608B"/>
    <w:rsid w:val="001E69C1"/>
    <w:rsid w:val="001E714C"/>
    <w:rsid w:val="001E7DCD"/>
    <w:rsid w:val="001E7FFA"/>
    <w:rsid w:val="001F04F5"/>
    <w:rsid w:val="001F0AFC"/>
    <w:rsid w:val="001F470F"/>
    <w:rsid w:val="001F4ACD"/>
    <w:rsid w:val="001F4FFD"/>
    <w:rsid w:val="001F6170"/>
    <w:rsid w:val="001F63D7"/>
    <w:rsid w:val="001F6ACF"/>
    <w:rsid w:val="001F6FB1"/>
    <w:rsid w:val="00203BE4"/>
    <w:rsid w:val="00204431"/>
    <w:rsid w:val="0020464A"/>
    <w:rsid w:val="00204A25"/>
    <w:rsid w:val="0020608E"/>
    <w:rsid w:val="002073B6"/>
    <w:rsid w:val="002076CA"/>
    <w:rsid w:val="002079DD"/>
    <w:rsid w:val="00212DCC"/>
    <w:rsid w:val="0021392B"/>
    <w:rsid w:val="002141C1"/>
    <w:rsid w:val="00215A37"/>
    <w:rsid w:val="00215A82"/>
    <w:rsid w:val="002162F1"/>
    <w:rsid w:val="00216F2A"/>
    <w:rsid w:val="00220914"/>
    <w:rsid w:val="00221D61"/>
    <w:rsid w:val="00221FB3"/>
    <w:rsid w:val="0022341C"/>
    <w:rsid w:val="00224456"/>
    <w:rsid w:val="00225A62"/>
    <w:rsid w:val="00225BEA"/>
    <w:rsid w:val="00230440"/>
    <w:rsid w:val="00230AAB"/>
    <w:rsid w:val="00232081"/>
    <w:rsid w:val="00232DA1"/>
    <w:rsid w:val="00237B26"/>
    <w:rsid w:val="00240303"/>
    <w:rsid w:val="0024180A"/>
    <w:rsid w:val="0024268D"/>
    <w:rsid w:val="00244295"/>
    <w:rsid w:val="002446F5"/>
    <w:rsid w:val="00250442"/>
    <w:rsid w:val="00250A66"/>
    <w:rsid w:val="00254253"/>
    <w:rsid w:val="00254EC2"/>
    <w:rsid w:val="00255002"/>
    <w:rsid w:val="002550AB"/>
    <w:rsid w:val="00256322"/>
    <w:rsid w:val="002575A8"/>
    <w:rsid w:val="00260476"/>
    <w:rsid w:val="00261B88"/>
    <w:rsid w:val="0026229E"/>
    <w:rsid w:val="002622CD"/>
    <w:rsid w:val="00264F41"/>
    <w:rsid w:val="0026573D"/>
    <w:rsid w:val="00266574"/>
    <w:rsid w:val="002668F8"/>
    <w:rsid w:val="00270E78"/>
    <w:rsid w:val="00271390"/>
    <w:rsid w:val="00271AB9"/>
    <w:rsid w:val="00271D65"/>
    <w:rsid w:val="0027245E"/>
    <w:rsid w:val="002743A4"/>
    <w:rsid w:val="00274BCC"/>
    <w:rsid w:val="00275406"/>
    <w:rsid w:val="002769E7"/>
    <w:rsid w:val="00276FE8"/>
    <w:rsid w:val="00281882"/>
    <w:rsid w:val="00281D99"/>
    <w:rsid w:val="002821B9"/>
    <w:rsid w:val="0028450D"/>
    <w:rsid w:val="0029173A"/>
    <w:rsid w:val="00291EBF"/>
    <w:rsid w:val="0029573D"/>
    <w:rsid w:val="00296D8E"/>
    <w:rsid w:val="00297730"/>
    <w:rsid w:val="002A0772"/>
    <w:rsid w:val="002A0BB8"/>
    <w:rsid w:val="002B0601"/>
    <w:rsid w:val="002B10C7"/>
    <w:rsid w:val="002B1F0A"/>
    <w:rsid w:val="002B6EC9"/>
    <w:rsid w:val="002B7029"/>
    <w:rsid w:val="002B7609"/>
    <w:rsid w:val="002C0665"/>
    <w:rsid w:val="002C1BA2"/>
    <w:rsid w:val="002C2C92"/>
    <w:rsid w:val="002C4749"/>
    <w:rsid w:val="002C5B29"/>
    <w:rsid w:val="002C6317"/>
    <w:rsid w:val="002D07B9"/>
    <w:rsid w:val="002D0C71"/>
    <w:rsid w:val="002D0F04"/>
    <w:rsid w:val="002D31A6"/>
    <w:rsid w:val="002D4A56"/>
    <w:rsid w:val="002D797A"/>
    <w:rsid w:val="002E0BC4"/>
    <w:rsid w:val="002E2CAE"/>
    <w:rsid w:val="002E55C2"/>
    <w:rsid w:val="002E6409"/>
    <w:rsid w:val="002E7D48"/>
    <w:rsid w:val="002F137A"/>
    <w:rsid w:val="002F267D"/>
    <w:rsid w:val="002F41A4"/>
    <w:rsid w:val="002F48E3"/>
    <w:rsid w:val="002F6BBA"/>
    <w:rsid w:val="002F6DFA"/>
    <w:rsid w:val="002F7C5F"/>
    <w:rsid w:val="0030038F"/>
    <w:rsid w:val="00301486"/>
    <w:rsid w:val="00302D7F"/>
    <w:rsid w:val="00306442"/>
    <w:rsid w:val="003069FB"/>
    <w:rsid w:val="00307537"/>
    <w:rsid w:val="00312C0C"/>
    <w:rsid w:val="00313AA2"/>
    <w:rsid w:val="003200C9"/>
    <w:rsid w:val="0032035E"/>
    <w:rsid w:val="003209C7"/>
    <w:rsid w:val="003226B6"/>
    <w:rsid w:val="0032306D"/>
    <w:rsid w:val="00326170"/>
    <w:rsid w:val="003263E9"/>
    <w:rsid w:val="00326D35"/>
    <w:rsid w:val="00331183"/>
    <w:rsid w:val="00332063"/>
    <w:rsid w:val="00332D4C"/>
    <w:rsid w:val="00333AB9"/>
    <w:rsid w:val="00333C06"/>
    <w:rsid w:val="0033459B"/>
    <w:rsid w:val="00334915"/>
    <w:rsid w:val="00335BE8"/>
    <w:rsid w:val="00337C87"/>
    <w:rsid w:val="0034265F"/>
    <w:rsid w:val="00343A49"/>
    <w:rsid w:val="00346441"/>
    <w:rsid w:val="003475EC"/>
    <w:rsid w:val="00350310"/>
    <w:rsid w:val="0035076B"/>
    <w:rsid w:val="00352BEB"/>
    <w:rsid w:val="00353885"/>
    <w:rsid w:val="00361EB1"/>
    <w:rsid w:val="003629D1"/>
    <w:rsid w:val="003637CE"/>
    <w:rsid w:val="003670B8"/>
    <w:rsid w:val="003715EC"/>
    <w:rsid w:val="00373753"/>
    <w:rsid w:val="00376867"/>
    <w:rsid w:val="00376A96"/>
    <w:rsid w:val="003772AC"/>
    <w:rsid w:val="00381E56"/>
    <w:rsid w:val="003826FF"/>
    <w:rsid w:val="0039273C"/>
    <w:rsid w:val="00393D9D"/>
    <w:rsid w:val="00393E61"/>
    <w:rsid w:val="00395DAA"/>
    <w:rsid w:val="00396CA7"/>
    <w:rsid w:val="00396D02"/>
    <w:rsid w:val="003A0041"/>
    <w:rsid w:val="003A1C3E"/>
    <w:rsid w:val="003A2970"/>
    <w:rsid w:val="003A29D4"/>
    <w:rsid w:val="003A5088"/>
    <w:rsid w:val="003A7D80"/>
    <w:rsid w:val="003B0E46"/>
    <w:rsid w:val="003B14AA"/>
    <w:rsid w:val="003B19C7"/>
    <w:rsid w:val="003B25A5"/>
    <w:rsid w:val="003B3120"/>
    <w:rsid w:val="003B3537"/>
    <w:rsid w:val="003B567E"/>
    <w:rsid w:val="003B6932"/>
    <w:rsid w:val="003B72F9"/>
    <w:rsid w:val="003B79EB"/>
    <w:rsid w:val="003B7ED0"/>
    <w:rsid w:val="003C0D91"/>
    <w:rsid w:val="003C3E42"/>
    <w:rsid w:val="003C436F"/>
    <w:rsid w:val="003C4B05"/>
    <w:rsid w:val="003C72E2"/>
    <w:rsid w:val="003D07D2"/>
    <w:rsid w:val="003D2A5F"/>
    <w:rsid w:val="003D79CF"/>
    <w:rsid w:val="003E0207"/>
    <w:rsid w:val="003E11F6"/>
    <w:rsid w:val="003E304D"/>
    <w:rsid w:val="003E3D3C"/>
    <w:rsid w:val="003E4AA5"/>
    <w:rsid w:val="003F08C2"/>
    <w:rsid w:val="003F0964"/>
    <w:rsid w:val="003F18A1"/>
    <w:rsid w:val="003F1D93"/>
    <w:rsid w:val="003F2EB6"/>
    <w:rsid w:val="003F4897"/>
    <w:rsid w:val="003F5BAF"/>
    <w:rsid w:val="003F6587"/>
    <w:rsid w:val="00402C7D"/>
    <w:rsid w:val="00403A74"/>
    <w:rsid w:val="00407351"/>
    <w:rsid w:val="00407C2D"/>
    <w:rsid w:val="004106DF"/>
    <w:rsid w:val="00410EC9"/>
    <w:rsid w:val="00411A71"/>
    <w:rsid w:val="00411C0C"/>
    <w:rsid w:val="0041399A"/>
    <w:rsid w:val="00414535"/>
    <w:rsid w:val="00414925"/>
    <w:rsid w:val="00420D64"/>
    <w:rsid w:val="004218FA"/>
    <w:rsid w:val="00424E85"/>
    <w:rsid w:val="00425BE9"/>
    <w:rsid w:val="00427072"/>
    <w:rsid w:val="00433AA3"/>
    <w:rsid w:val="0043585C"/>
    <w:rsid w:val="00441F35"/>
    <w:rsid w:val="004428FA"/>
    <w:rsid w:val="00443205"/>
    <w:rsid w:val="004439D2"/>
    <w:rsid w:val="00445994"/>
    <w:rsid w:val="004503E9"/>
    <w:rsid w:val="00453463"/>
    <w:rsid w:val="004550E4"/>
    <w:rsid w:val="004637E8"/>
    <w:rsid w:val="00467368"/>
    <w:rsid w:val="004674CD"/>
    <w:rsid w:val="004710EE"/>
    <w:rsid w:val="00472E56"/>
    <w:rsid w:val="004740EC"/>
    <w:rsid w:val="0048186C"/>
    <w:rsid w:val="004819CF"/>
    <w:rsid w:val="00482432"/>
    <w:rsid w:val="00484866"/>
    <w:rsid w:val="004859D6"/>
    <w:rsid w:val="00485FD1"/>
    <w:rsid w:val="0048797E"/>
    <w:rsid w:val="00487DD3"/>
    <w:rsid w:val="004902C8"/>
    <w:rsid w:val="004905D4"/>
    <w:rsid w:val="00492E44"/>
    <w:rsid w:val="0049431F"/>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3BEB"/>
    <w:rsid w:val="004C59ED"/>
    <w:rsid w:val="004C65D5"/>
    <w:rsid w:val="004D6C24"/>
    <w:rsid w:val="004D7295"/>
    <w:rsid w:val="004E140A"/>
    <w:rsid w:val="004E154B"/>
    <w:rsid w:val="004E1914"/>
    <w:rsid w:val="004E32A4"/>
    <w:rsid w:val="004E3613"/>
    <w:rsid w:val="004E3CAD"/>
    <w:rsid w:val="004E6C69"/>
    <w:rsid w:val="004F101E"/>
    <w:rsid w:val="004F2A11"/>
    <w:rsid w:val="004F3166"/>
    <w:rsid w:val="004F3208"/>
    <w:rsid w:val="004F44EE"/>
    <w:rsid w:val="004F54D2"/>
    <w:rsid w:val="004F6193"/>
    <w:rsid w:val="004F7676"/>
    <w:rsid w:val="004F7C81"/>
    <w:rsid w:val="00501713"/>
    <w:rsid w:val="0050282E"/>
    <w:rsid w:val="00505F41"/>
    <w:rsid w:val="0050794C"/>
    <w:rsid w:val="0051075B"/>
    <w:rsid w:val="00511236"/>
    <w:rsid w:val="00511539"/>
    <w:rsid w:val="00512DE0"/>
    <w:rsid w:val="0051361F"/>
    <w:rsid w:val="00515455"/>
    <w:rsid w:val="00516317"/>
    <w:rsid w:val="005174FF"/>
    <w:rsid w:val="00520EC3"/>
    <w:rsid w:val="0052138C"/>
    <w:rsid w:val="005213A1"/>
    <w:rsid w:val="005214F9"/>
    <w:rsid w:val="00522CCA"/>
    <w:rsid w:val="00523362"/>
    <w:rsid w:val="00523B26"/>
    <w:rsid w:val="0052442F"/>
    <w:rsid w:val="00526CFA"/>
    <w:rsid w:val="00530CAF"/>
    <w:rsid w:val="0053172B"/>
    <w:rsid w:val="00532941"/>
    <w:rsid w:val="00535A39"/>
    <w:rsid w:val="005373E3"/>
    <w:rsid w:val="00540DCE"/>
    <w:rsid w:val="00540DD7"/>
    <w:rsid w:val="00541F86"/>
    <w:rsid w:val="00541FCB"/>
    <w:rsid w:val="0054283A"/>
    <w:rsid w:val="00543308"/>
    <w:rsid w:val="00545E9C"/>
    <w:rsid w:val="00547658"/>
    <w:rsid w:val="0054768C"/>
    <w:rsid w:val="00556030"/>
    <w:rsid w:val="0055649A"/>
    <w:rsid w:val="00562B2B"/>
    <w:rsid w:val="00563102"/>
    <w:rsid w:val="005657D7"/>
    <w:rsid w:val="00565958"/>
    <w:rsid w:val="00572013"/>
    <w:rsid w:val="00573257"/>
    <w:rsid w:val="005778F7"/>
    <w:rsid w:val="00577A3F"/>
    <w:rsid w:val="005805DF"/>
    <w:rsid w:val="0058326E"/>
    <w:rsid w:val="005833B8"/>
    <w:rsid w:val="0058384E"/>
    <w:rsid w:val="00583A03"/>
    <w:rsid w:val="005841BA"/>
    <w:rsid w:val="00584301"/>
    <w:rsid w:val="005877F2"/>
    <w:rsid w:val="00592442"/>
    <w:rsid w:val="0059283B"/>
    <w:rsid w:val="00593E92"/>
    <w:rsid w:val="005949F1"/>
    <w:rsid w:val="005956F7"/>
    <w:rsid w:val="00595CB2"/>
    <w:rsid w:val="005978C8"/>
    <w:rsid w:val="005A0A0F"/>
    <w:rsid w:val="005A2361"/>
    <w:rsid w:val="005A24ED"/>
    <w:rsid w:val="005A2573"/>
    <w:rsid w:val="005A3193"/>
    <w:rsid w:val="005A4783"/>
    <w:rsid w:val="005A5CCF"/>
    <w:rsid w:val="005A6B87"/>
    <w:rsid w:val="005B034E"/>
    <w:rsid w:val="005B0825"/>
    <w:rsid w:val="005B0A84"/>
    <w:rsid w:val="005B2D16"/>
    <w:rsid w:val="005B4DAF"/>
    <w:rsid w:val="005B56A0"/>
    <w:rsid w:val="005B5788"/>
    <w:rsid w:val="005B60D5"/>
    <w:rsid w:val="005B693A"/>
    <w:rsid w:val="005C035D"/>
    <w:rsid w:val="005C11D6"/>
    <w:rsid w:val="005C12EA"/>
    <w:rsid w:val="005C1759"/>
    <w:rsid w:val="005C22AA"/>
    <w:rsid w:val="005C234E"/>
    <w:rsid w:val="005D02EE"/>
    <w:rsid w:val="005D0C1B"/>
    <w:rsid w:val="005D210E"/>
    <w:rsid w:val="005D3D27"/>
    <w:rsid w:val="005D464B"/>
    <w:rsid w:val="005D7D3A"/>
    <w:rsid w:val="005D7EB1"/>
    <w:rsid w:val="005E4EE1"/>
    <w:rsid w:val="005E6EF7"/>
    <w:rsid w:val="005E736A"/>
    <w:rsid w:val="005E75FC"/>
    <w:rsid w:val="005F042D"/>
    <w:rsid w:val="005F3D1C"/>
    <w:rsid w:val="005F534C"/>
    <w:rsid w:val="005F75F8"/>
    <w:rsid w:val="00602357"/>
    <w:rsid w:val="006044C7"/>
    <w:rsid w:val="006123B6"/>
    <w:rsid w:val="00613977"/>
    <w:rsid w:val="0061627D"/>
    <w:rsid w:val="006206C7"/>
    <w:rsid w:val="00622EC4"/>
    <w:rsid w:val="00624875"/>
    <w:rsid w:val="0062488B"/>
    <w:rsid w:val="006327F1"/>
    <w:rsid w:val="00636167"/>
    <w:rsid w:val="00644417"/>
    <w:rsid w:val="00647075"/>
    <w:rsid w:val="006520FF"/>
    <w:rsid w:val="00652EBE"/>
    <w:rsid w:val="006549EF"/>
    <w:rsid w:val="00655C14"/>
    <w:rsid w:val="00656186"/>
    <w:rsid w:val="00656420"/>
    <w:rsid w:val="00662070"/>
    <w:rsid w:val="0066237A"/>
    <w:rsid w:val="006628A9"/>
    <w:rsid w:val="00665A9F"/>
    <w:rsid w:val="00665B37"/>
    <w:rsid w:val="0066676B"/>
    <w:rsid w:val="006719D8"/>
    <w:rsid w:val="0067364F"/>
    <w:rsid w:val="00675D81"/>
    <w:rsid w:val="00676455"/>
    <w:rsid w:val="00676D0D"/>
    <w:rsid w:val="00676EB9"/>
    <w:rsid w:val="0068043D"/>
    <w:rsid w:val="00682B00"/>
    <w:rsid w:val="00685028"/>
    <w:rsid w:val="00685AA5"/>
    <w:rsid w:val="00685FB4"/>
    <w:rsid w:val="006863DA"/>
    <w:rsid w:val="0068702E"/>
    <w:rsid w:val="00687CA7"/>
    <w:rsid w:val="00687D3A"/>
    <w:rsid w:val="006925E2"/>
    <w:rsid w:val="006932E0"/>
    <w:rsid w:val="006942E3"/>
    <w:rsid w:val="006A0231"/>
    <w:rsid w:val="006A090C"/>
    <w:rsid w:val="006A0BC1"/>
    <w:rsid w:val="006A1384"/>
    <w:rsid w:val="006A34DA"/>
    <w:rsid w:val="006A6AEE"/>
    <w:rsid w:val="006B0965"/>
    <w:rsid w:val="006B6754"/>
    <w:rsid w:val="006B677E"/>
    <w:rsid w:val="006B71FD"/>
    <w:rsid w:val="006B786C"/>
    <w:rsid w:val="006C0661"/>
    <w:rsid w:val="006C0E3B"/>
    <w:rsid w:val="006C18AF"/>
    <w:rsid w:val="006C1D12"/>
    <w:rsid w:val="006C6571"/>
    <w:rsid w:val="006D1334"/>
    <w:rsid w:val="006D29E6"/>
    <w:rsid w:val="006D449D"/>
    <w:rsid w:val="006D5851"/>
    <w:rsid w:val="006D5DAA"/>
    <w:rsid w:val="006D60D9"/>
    <w:rsid w:val="006D6178"/>
    <w:rsid w:val="006E27F4"/>
    <w:rsid w:val="006E361D"/>
    <w:rsid w:val="006E3810"/>
    <w:rsid w:val="006E44B1"/>
    <w:rsid w:val="006E492E"/>
    <w:rsid w:val="006E4C9D"/>
    <w:rsid w:val="006E5DCF"/>
    <w:rsid w:val="006E669C"/>
    <w:rsid w:val="006E69BB"/>
    <w:rsid w:val="006E6A6B"/>
    <w:rsid w:val="006E786F"/>
    <w:rsid w:val="006F01C3"/>
    <w:rsid w:val="006F5B9E"/>
    <w:rsid w:val="006F7480"/>
    <w:rsid w:val="0070124C"/>
    <w:rsid w:val="007017C6"/>
    <w:rsid w:val="007027BB"/>
    <w:rsid w:val="007029C9"/>
    <w:rsid w:val="00705140"/>
    <w:rsid w:val="007066C5"/>
    <w:rsid w:val="00712FFF"/>
    <w:rsid w:val="007142C8"/>
    <w:rsid w:val="0071626D"/>
    <w:rsid w:val="00717A32"/>
    <w:rsid w:val="00720729"/>
    <w:rsid w:val="007212E2"/>
    <w:rsid w:val="00723C09"/>
    <w:rsid w:val="00723DEB"/>
    <w:rsid w:val="007306AF"/>
    <w:rsid w:val="00731179"/>
    <w:rsid w:val="00731AEB"/>
    <w:rsid w:val="00734D11"/>
    <w:rsid w:val="00735674"/>
    <w:rsid w:val="00740C36"/>
    <w:rsid w:val="00741A8F"/>
    <w:rsid w:val="00742008"/>
    <w:rsid w:val="00743BA0"/>
    <w:rsid w:val="007473F1"/>
    <w:rsid w:val="00747DFD"/>
    <w:rsid w:val="00754329"/>
    <w:rsid w:val="007547A1"/>
    <w:rsid w:val="00756A93"/>
    <w:rsid w:val="0075769A"/>
    <w:rsid w:val="007637F6"/>
    <w:rsid w:val="0076561F"/>
    <w:rsid w:val="00765DEF"/>
    <w:rsid w:val="00766E46"/>
    <w:rsid w:val="00770E6E"/>
    <w:rsid w:val="00771A7C"/>
    <w:rsid w:val="0077230A"/>
    <w:rsid w:val="00772725"/>
    <w:rsid w:val="0077318C"/>
    <w:rsid w:val="00773EB7"/>
    <w:rsid w:val="007751AA"/>
    <w:rsid w:val="00777AD7"/>
    <w:rsid w:val="00781F66"/>
    <w:rsid w:val="00783FA7"/>
    <w:rsid w:val="0079451D"/>
    <w:rsid w:val="007A04C8"/>
    <w:rsid w:val="007A3102"/>
    <w:rsid w:val="007A3B30"/>
    <w:rsid w:val="007A3FC0"/>
    <w:rsid w:val="007A49BA"/>
    <w:rsid w:val="007A609F"/>
    <w:rsid w:val="007A7484"/>
    <w:rsid w:val="007B260C"/>
    <w:rsid w:val="007B57A1"/>
    <w:rsid w:val="007B7535"/>
    <w:rsid w:val="007C0D3D"/>
    <w:rsid w:val="007C2A08"/>
    <w:rsid w:val="007C60D8"/>
    <w:rsid w:val="007D0AC6"/>
    <w:rsid w:val="007D2077"/>
    <w:rsid w:val="007D3F94"/>
    <w:rsid w:val="007D4B45"/>
    <w:rsid w:val="007D7A78"/>
    <w:rsid w:val="007E2D5E"/>
    <w:rsid w:val="007E41A4"/>
    <w:rsid w:val="007E5812"/>
    <w:rsid w:val="007E68A5"/>
    <w:rsid w:val="007F1EC7"/>
    <w:rsid w:val="007F36F4"/>
    <w:rsid w:val="007F3EAF"/>
    <w:rsid w:val="007F40B0"/>
    <w:rsid w:val="007F5F38"/>
    <w:rsid w:val="007F665B"/>
    <w:rsid w:val="007F76FD"/>
    <w:rsid w:val="00801A8E"/>
    <w:rsid w:val="008042C8"/>
    <w:rsid w:val="00805CFD"/>
    <w:rsid w:val="00807F15"/>
    <w:rsid w:val="00811912"/>
    <w:rsid w:val="008123AF"/>
    <w:rsid w:val="0081359D"/>
    <w:rsid w:val="008136A0"/>
    <w:rsid w:val="00813CDD"/>
    <w:rsid w:val="00814164"/>
    <w:rsid w:val="00815A2E"/>
    <w:rsid w:val="008168B9"/>
    <w:rsid w:val="00820B4E"/>
    <w:rsid w:val="00822488"/>
    <w:rsid w:val="00823B38"/>
    <w:rsid w:val="00823F1C"/>
    <w:rsid w:val="00824697"/>
    <w:rsid w:val="00827A30"/>
    <w:rsid w:val="008318B8"/>
    <w:rsid w:val="00831DDD"/>
    <w:rsid w:val="00832386"/>
    <w:rsid w:val="00832609"/>
    <w:rsid w:val="008332DA"/>
    <w:rsid w:val="008344C2"/>
    <w:rsid w:val="00834BAC"/>
    <w:rsid w:val="00836D01"/>
    <w:rsid w:val="008379F3"/>
    <w:rsid w:val="00837EA3"/>
    <w:rsid w:val="008439A0"/>
    <w:rsid w:val="00843BE9"/>
    <w:rsid w:val="008508FF"/>
    <w:rsid w:val="00850CAC"/>
    <w:rsid w:val="0085238C"/>
    <w:rsid w:val="008530DA"/>
    <w:rsid w:val="008538D0"/>
    <w:rsid w:val="00853BF4"/>
    <w:rsid w:val="00854ED5"/>
    <w:rsid w:val="00855965"/>
    <w:rsid w:val="00856356"/>
    <w:rsid w:val="008563F2"/>
    <w:rsid w:val="00860671"/>
    <w:rsid w:val="00861396"/>
    <w:rsid w:val="00862CD2"/>
    <w:rsid w:val="00864334"/>
    <w:rsid w:val="0086508B"/>
    <w:rsid w:val="00866E4F"/>
    <w:rsid w:val="0087156B"/>
    <w:rsid w:val="00872D7E"/>
    <w:rsid w:val="00874965"/>
    <w:rsid w:val="008754E6"/>
    <w:rsid w:val="0087776F"/>
    <w:rsid w:val="00877B15"/>
    <w:rsid w:val="0088280A"/>
    <w:rsid w:val="00882EA9"/>
    <w:rsid w:val="00883C52"/>
    <w:rsid w:val="00883EB7"/>
    <w:rsid w:val="00891446"/>
    <w:rsid w:val="00891A53"/>
    <w:rsid w:val="00892C9F"/>
    <w:rsid w:val="00892FBD"/>
    <w:rsid w:val="00893AD8"/>
    <w:rsid w:val="00893D2C"/>
    <w:rsid w:val="00894AB2"/>
    <w:rsid w:val="00894D11"/>
    <w:rsid w:val="0089523F"/>
    <w:rsid w:val="008967E5"/>
    <w:rsid w:val="00897BCF"/>
    <w:rsid w:val="008A07FE"/>
    <w:rsid w:val="008A12AD"/>
    <w:rsid w:val="008A1677"/>
    <w:rsid w:val="008A6436"/>
    <w:rsid w:val="008B04B3"/>
    <w:rsid w:val="008B0616"/>
    <w:rsid w:val="008B144F"/>
    <w:rsid w:val="008B279B"/>
    <w:rsid w:val="008B3B85"/>
    <w:rsid w:val="008B42E3"/>
    <w:rsid w:val="008B4E8C"/>
    <w:rsid w:val="008B56CB"/>
    <w:rsid w:val="008B60B8"/>
    <w:rsid w:val="008C12BE"/>
    <w:rsid w:val="008C1B93"/>
    <w:rsid w:val="008C22C7"/>
    <w:rsid w:val="008C38EB"/>
    <w:rsid w:val="008C414B"/>
    <w:rsid w:val="008C54EA"/>
    <w:rsid w:val="008C569A"/>
    <w:rsid w:val="008C671C"/>
    <w:rsid w:val="008D29B7"/>
    <w:rsid w:val="008D3BDF"/>
    <w:rsid w:val="008D54FC"/>
    <w:rsid w:val="008D7EA2"/>
    <w:rsid w:val="008E1CA4"/>
    <w:rsid w:val="008E3FAA"/>
    <w:rsid w:val="008E737C"/>
    <w:rsid w:val="008F05B8"/>
    <w:rsid w:val="008F0C9D"/>
    <w:rsid w:val="008F0D5A"/>
    <w:rsid w:val="008F1C12"/>
    <w:rsid w:val="008F5A4B"/>
    <w:rsid w:val="008F5EF9"/>
    <w:rsid w:val="008F5F6F"/>
    <w:rsid w:val="00900EC1"/>
    <w:rsid w:val="00901214"/>
    <w:rsid w:val="00903B12"/>
    <w:rsid w:val="00904D6D"/>
    <w:rsid w:val="00904EC8"/>
    <w:rsid w:val="00906951"/>
    <w:rsid w:val="009074E7"/>
    <w:rsid w:val="0091187A"/>
    <w:rsid w:val="00912FBC"/>
    <w:rsid w:val="00913D3B"/>
    <w:rsid w:val="00913F75"/>
    <w:rsid w:val="00921D05"/>
    <w:rsid w:val="0092257C"/>
    <w:rsid w:val="009243B5"/>
    <w:rsid w:val="009314C3"/>
    <w:rsid w:val="009317FD"/>
    <w:rsid w:val="009406FF"/>
    <w:rsid w:val="009416C1"/>
    <w:rsid w:val="00941CD2"/>
    <w:rsid w:val="0094367D"/>
    <w:rsid w:val="00943FA1"/>
    <w:rsid w:val="00945A5C"/>
    <w:rsid w:val="00945F29"/>
    <w:rsid w:val="00945F87"/>
    <w:rsid w:val="00946389"/>
    <w:rsid w:val="0094738D"/>
    <w:rsid w:val="00950EF7"/>
    <w:rsid w:val="00954DC1"/>
    <w:rsid w:val="00955462"/>
    <w:rsid w:val="00956B64"/>
    <w:rsid w:val="00960597"/>
    <w:rsid w:val="009617A9"/>
    <w:rsid w:val="0096558F"/>
    <w:rsid w:val="00965F39"/>
    <w:rsid w:val="009665BE"/>
    <w:rsid w:val="009673AB"/>
    <w:rsid w:val="00970E84"/>
    <w:rsid w:val="00970FC9"/>
    <w:rsid w:val="00971153"/>
    <w:rsid w:val="009751D1"/>
    <w:rsid w:val="00981036"/>
    <w:rsid w:val="00981E5F"/>
    <w:rsid w:val="00983846"/>
    <w:rsid w:val="0098569D"/>
    <w:rsid w:val="00986A9F"/>
    <w:rsid w:val="00990CC8"/>
    <w:rsid w:val="0099227E"/>
    <w:rsid w:val="009949C5"/>
    <w:rsid w:val="009A19B2"/>
    <w:rsid w:val="009A7C7E"/>
    <w:rsid w:val="009B3702"/>
    <w:rsid w:val="009B3EC0"/>
    <w:rsid w:val="009B5FE8"/>
    <w:rsid w:val="009B62B1"/>
    <w:rsid w:val="009B76C2"/>
    <w:rsid w:val="009C080D"/>
    <w:rsid w:val="009C5293"/>
    <w:rsid w:val="009C6C7B"/>
    <w:rsid w:val="009D3C32"/>
    <w:rsid w:val="009D41DF"/>
    <w:rsid w:val="009D61CF"/>
    <w:rsid w:val="009D709E"/>
    <w:rsid w:val="009E0249"/>
    <w:rsid w:val="009E055A"/>
    <w:rsid w:val="009E0C4E"/>
    <w:rsid w:val="009E0F0F"/>
    <w:rsid w:val="009E36AC"/>
    <w:rsid w:val="009E4FB4"/>
    <w:rsid w:val="009E5694"/>
    <w:rsid w:val="009E585B"/>
    <w:rsid w:val="009F040E"/>
    <w:rsid w:val="009F3673"/>
    <w:rsid w:val="00A02DD3"/>
    <w:rsid w:val="00A04D6C"/>
    <w:rsid w:val="00A05622"/>
    <w:rsid w:val="00A1136A"/>
    <w:rsid w:val="00A16250"/>
    <w:rsid w:val="00A17296"/>
    <w:rsid w:val="00A17D28"/>
    <w:rsid w:val="00A17E53"/>
    <w:rsid w:val="00A21621"/>
    <w:rsid w:val="00A217D3"/>
    <w:rsid w:val="00A22457"/>
    <w:rsid w:val="00A22900"/>
    <w:rsid w:val="00A22D3E"/>
    <w:rsid w:val="00A302B1"/>
    <w:rsid w:val="00A31E71"/>
    <w:rsid w:val="00A3340E"/>
    <w:rsid w:val="00A42248"/>
    <w:rsid w:val="00A426C8"/>
    <w:rsid w:val="00A42ABF"/>
    <w:rsid w:val="00A4427E"/>
    <w:rsid w:val="00A46733"/>
    <w:rsid w:val="00A46ECF"/>
    <w:rsid w:val="00A477B8"/>
    <w:rsid w:val="00A47D0D"/>
    <w:rsid w:val="00A47F03"/>
    <w:rsid w:val="00A511E6"/>
    <w:rsid w:val="00A51683"/>
    <w:rsid w:val="00A51892"/>
    <w:rsid w:val="00A52037"/>
    <w:rsid w:val="00A52149"/>
    <w:rsid w:val="00A53922"/>
    <w:rsid w:val="00A5654D"/>
    <w:rsid w:val="00A5724F"/>
    <w:rsid w:val="00A6261F"/>
    <w:rsid w:val="00A648CF"/>
    <w:rsid w:val="00A65242"/>
    <w:rsid w:val="00A653A6"/>
    <w:rsid w:val="00A65646"/>
    <w:rsid w:val="00A656B3"/>
    <w:rsid w:val="00A65ECB"/>
    <w:rsid w:val="00A662A3"/>
    <w:rsid w:val="00A6697F"/>
    <w:rsid w:val="00A6703D"/>
    <w:rsid w:val="00A71C8A"/>
    <w:rsid w:val="00A71ED6"/>
    <w:rsid w:val="00A75CE7"/>
    <w:rsid w:val="00A77E76"/>
    <w:rsid w:val="00A80090"/>
    <w:rsid w:val="00A80D8C"/>
    <w:rsid w:val="00A84BD1"/>
    <w:rsid w:val="00A85A64"/>
    <w:rsid w:val="00A85DD9"/>
    <w:rsid w:val="00A93118"/>
    <w:rsid w:val="00A96FA0"/>
    <w:rsid w:val="00AA3EC5"/>
    <w:rsid w:val="00AA4B39"/>
    <w:rsid w:val="00AA512B"/>
    <w:rsid w:val="00AA608B"/>
    <w:rsid w:val="00AA77C0"/>
    <w:rsid w:val="00AB1CD7"/>
    <w:rsid w:val="00AB1F5C"/>
    <w:rsid w:val="00AB4311"/>
    <w:rsid w:val="00AB49DA"/>
    <w:rsid w:val="00AB59A7"/>
    <w:rsid w:val="00AB68F7"/>
    <w:rsid w:val="00AC077B"/>
    <w:rsid w:val="00AC0C82"/>
    <w:rsid w:val="00AC1F08"/>
    <w:rsid w:val="00AC60ED"/>
    <w:rsid w:val="00AC6353"/>
    <w:rsid w:val="00AC7B23"/>
    <w:rsid w:val="00AD564C"/>
    <w:rsid w:val="00AD5DF9"/>
    <w:rsid w:val="00AD7639"/>
    <w:rsid w:val="00AE0F87"/>
    <w:rsid w:val="00AE2DBD"/>
    <w:rsid w:val="00AE3182"/>
    <w:rsid w:val="00AE43A3"/>
    <w:rsid w:val="00AE4DBD"/>
    <w:rsid w:val="00AE55D3"/>
    <w:rsid w:val="00AF095A"/>
    <w:rsid w:val="00AF1119"/>
    <w:rsid w:val="00AF567E"/>
    <w:rsid w:val="00AF59C3"/>
    <w:rsid w:val="00AF73D2"/>
    <w:rsid w:val="00B011BB"/>
    <w:rsid w:val="00B0163B"/>
    <w:rsid w:val="00B04312"/>
    <w:rsid w:val="00B0539A"/>
    <w:rsid w:val="00B05D34"/>
    <w:rsid w:val="00B06669"/>
    <w:rsid w:val="00B06F09"/>
    <w:rsid w:val="00B14782"/>
    <w:rsid w:val="00B14B32"/>
    <w:rsid w:val="00B14BA4"/>
    <w:rsid w:val="00B14C9C"/>
    <w:rsid w:val="00B14E05"/>
    <w:rsid w:val="00B162E1"/>
    <w:rsid w:val="00B16894"/>
    <w:rsid w:val="00B17156"/>
    <w:rsid w:val="00B17A29"/>
    <w:rsid w:val="00B17D85"/>
    <w:rsid w:val="00B21966"/>
    <w:rsid w:val="00B2363C"/>
    <w:rsid w:val="00B252F9"/>
    <w:rsid w:val="00B25977"/>
    <w:rsid w:val="00B271D8"/>
    <w:rsid w:val="00B27C45"/>
    <w:rsid w:val="00B3036A"/>
    <w:rsid w:val="00B313EB"/>
    <w:rsid w:val="00B3198A"/>
    <w:rsid w:val="00B34812"/>
    <w:rsid w:val="00B357AE"/>
    <w:rsid w:val="00B37E57"/>
    <w:rsid w:val="00B42FA5"/>
    <w:rsid w:val="00B47C95"/>
    <w:rsid w:val="00B514D3"/>
    <w:rsid w:val="00B51BC7"/>
    <w:rsid w:val="00B52134"/>
    <w:rsid w:val="00B534CF"/>
    <w:rsid w:val="00B56063"/>
    <w:rsid w:val="00B56D4F"/>
    <w:rsid w:val="00B570B0"/>
    <w:rsid w:val="00B57714"/>
    <w:rsid w:val="00B61553"/>
    <w:rsid w:val="00B61620"/>
    <w:rsid w:val="00B6383F"/>
    <w:rsid w:val="00B64061"/>
    <w:rsid w:val="00B64D29"/>
    <w:rsid w:val="00B65BB6"/>
    <w:rsid w:val="00B66690"/>
    <w:rsid w:val="00B7048C"/>
    <w:rsid w:val="00B71D8A"/>
    <w:rsid w:val="00B73F7D"/>
    <w:rsid w:val="00B743B9"/>
    <w:rsid w:val="00B768D7"/>
    <w:rsid w:val="00B778A3"/>
    <w:rsid w:val="00B809F3"/>
    <w:rsid w:val="00B80B6B"/>
    <w:rsid w:val="00B85932"/>
    <w:rsid w:val="00B859E0"/>
    <w:rsid w:val="00B87588"/>
    <w:rsid w:val="00B92474"/>
    <w:rsid w:val="00B94B26"/>
    <w:rsid w:val="00BA2419"/>
    <w:rsid w:val="00BA2A8C"/>
    <w:rsid w:val="00BA5A9F"/>
    <w:rsid w:val="00BB0F2F"/>
    <w:rsid w:val="00BB1C66"/>
    <w:rsid w:val="00BB4626"/>
    <w:rsid w:val="00BB524D"/>
    <w:rsid w:val="00BB5385"/>
    <w:rsid w:val="00BB5653"/>
    <w:rsid w:val="00BB6E3C"/>
    <w:rsid w:val="00BC133D"/>
    <w:rsid w:val="00BC3E9C"/>
    <w:rsid w:val="00BC4074"/>
    <w:rsid w:val="00BC4AF5"/>
    <w:rsid w:val="00BC5AA5"/>
    <w:rsid w:val="00BC6362"/>
    <w:rsid w:val="00BC7404"/>
    <w:rsid w:val="00BC7CC2"/>
    <w:rsid w:val="00BD049F"/>
    <w:rsid w:val="00BD0E9D"/>
    <w:rsid w:val="00BD218A"/>
    <w:rsid w:val="00BD2F82"/>
    <w:rsid w:val="00BD399A"/>
    <w:rsid w:val="00BD557E"/>
    <w:rsid w:val="00BD5B18"/>
    <w:rsid w:val="00BD5F64"/>
    <w:rsid w:val="00BD6EB6"/>
    <w:rsid w:val="00BE0201"/>
    <w:rsid w:val="00BE17F9"/>
    <w:rsid w:val="00BE3232"/>
    <w:rsid w:val="00BE520C"/>
    <w:rsid w:val="00BF16AD"/>
    <w:rsid w:val="00BF2C8B"/>
    <w:rsid w:val="00BF34A7"/>
    <w:rsid w:val="00BF3B14"/>
    <w:rsid w:val="00BF54FE"/>
    <w:rsid w:val="00BF6218"/>
    <w:rsid w:val="00BF74E5"/>
    <w:rsid w:val="00C00EA2"/>
    <w:rsid w:val="00C011EE"/>
    <w:rsid w:val="00C02535"/>
    <w:rsid w:val="00C031CE"/>
    <w:rsid w:val="00C0352A"/>
    <w:rsid w:val="00C0425B"/>
    <w:rsid w:val="00C05811"/>
    <w:rsid w:val="00C1015B"/>
    <w:rsid w:val="00C103A1"/>
    <w:rsid w:val="00C10A10"/>
    <w:rsid w:val="00C10D6A"/>
    <w:rsid w:val="00C10EC0"/>
    <w:rsid w:val="00C13B9C"/>
    <w:rsid w:val="00C14063"/>
    <w:rsid w:val="00C15102"/>
    <w:rsid w:val="00C15A56"/>
    <w:rsid w:val="00C17A69"/>
    <w:rsid w:val="00C22F0A"/>
    <w:rsid w:val="00C2325B"/>
    <w:rsid w:val="00C25B1C"/>
    <w:rsid w:val="00C26299"/>
    <w:rsid w:val="00C311E4"/>
    <w:rsid w:val="00C322BB"/>
    <w:rsid w:val="00C33540"/>
    <w:rsid w:val="00C350F2"/>
    <w:rsid w:val="00C35B73"/>
    <w:rsid w:val="00C35B8F"/>
    <w:rsid w:val="00C35FBE"/>
    <w:rsid w:val="00C40E59"/>
    <w:rsid w:val="00C418BF"/>
    <w:rsid w:val="00C4258F"/>
    <w:rsid w:val="00C44562"/>
    <w:rsid w:val="00C44EA0"/>
    <w:rsid w:val="00C453FB"/>
    <w:rsid w:val="00C46B50"/>
    <w:rsid w:val="00C50166"/>
    <w:rsid w:val="00C502FF"/>
    <w:rsid w:val="00C519E3"/>
    <w:rsid w:val="00C52A26"/>
    <w:rsid w:val="00C55BED"/>
    <w:rsid w:val="00C55D03"/>
    <w:rsid w:val="00C55F3E"/>
    <w:rsid w:val="00C57311"/>
    <w:rsid w:val="00C60217"/>
    <w:rsid w:val="00C614A9"/>
    <w:rsid w:val="00C61929"/>
    <w:rsid w:val="00C62CDA"/>
    <w:rsid w:val="00C62E71"/>
    <w:rsid w:val="00C63059"/>
    <w:rsid w:val="00C631FE"/>
    <w:rsid w:val="00C63C08"/>
    <w:rsid w:val="00C66CCC"/>
    <w:rsid w:val="00C676A4"/>
    <w:rsid w:val="00C67789"/>
    <w:rsid w:val="00C700B6"/>
    <w:rsid w:val="00C713F9"/>
    <w:rsid w:val="00C7182A"/>
    <w:rsid w:val="00C72659"/>
    <w:rsid w:val="00C72CDB"/>
    <w:rsid w:val="00C734AC"/>
    <w:rsid w:val="00C73BD7"/>
    <w:rsid w:val="00C80CAC"/>
    <w:rsid w:val="00C8516B"/>
    <w:rsid w:val="00C85B81"/>
    <w:rsid w:val="00C861E6"/>
    <w:rsid w:val="00C93F76"/>
    <w:rsid w:val="00C948E9"/>
    <w:rsid w:val="00C9655A"/>
    <w:rsid w:val="00C96FCA"/>
    <w:rsid w:val="00C9754D"/>
    <w:rsid w:val="00C975DF"/>
    <w:rsid w:val="00C9764B"/>
    <w:rsid w:val="00CA36DF"/>
    <w:rsid w:val="00CA42F8"/>
    <w:rsid w:val="00CA5D84"/>
    <w:rsid w:val="00CC1960"/>
    <w:rsid w:val="00CC21DD"/>
    <w:rsid w:val="00CE14DE"/>
    <w:rsid w:val="00CE1CF3"/>
    <w:rsid w:val="00CE70F3"/>
    <w:rsid w:val="00CE7659"/>
    <w:rsid w:val="00CF0E18"/>
    <w:rsid w:val="00CF29A4"/>
    <w:rsid w:val="00CF2F2E"/>
    <w:rsid w:val="00CF624D"/>
    <w:rsid w:val="00CF6E34"/>
    <w:rsid w:val="00CF7378"/>
    <w:rsid w:val="00D02615"/>
    <w:rsid w:val="00D02991"/>
    <w:rsid w:val="00D04936"/>
    <w:rsid w:val="00D04C74"/>
    <w:rsid w:val="00D066D9"/>
    <w:rsid w:val="00D076EF"/>
    <w:rsid w:val="00D108C5"/>
    <w:rsid w:val="00D10D7A"/>
    <w:rsid w:val="00D1187F"/>
    <w:rsid w:val="00D11C2D"/>
    <w:rsid w:val="00D15162"/>
    <w:rsid w:val="00D1618D"/>
    <w:rsid w:val="00D167B1"/>
    <w:rsid w:val="00D16D1B"/>
    <w:rsid w:val="00D200E4"/>
    <w:rsid w:val="00D21F66"/>
    <w:rsid w:val="00D23B5E"/>
    <w:rsid w:val="00D24B66"/>
    <w:rsid w:val="00D24C22"/>
    <w:rsid w:val="00D25F57"/>
    <w:rsid w:val="00D261EC"/>
    <w:rsid w:val="00D31492"/>
    <w:rsid w:val="00D3478B"/>
    <w:rsid w:val="00D35E12"/>
    <w:rsid w:val="00D413DD"/>
    <w:rsid w:val="00D4189D"/>
    <w:rsid w:val="00D424E3"/>
    <w:rsid w:val="00D42604"/>
    <w:rsid w:val="00D42A30"/>
    <w:rsid w:val="00D43436"/>
    <w:rsid w:val="00D4389A"/>
    <w:rsid w:val="00D4436A"/>
    <w:rsid w:val="00D45380"/>
    <w:rsid w:val="00D45829"/>
    <w:rsid w:val="00D45DEF"/>
    <w:rsid w:val="00D45FB7"/>
    <w:rsid w:val="00D46347"/>
    <w:rsid w:val="00D4639D"/>
    <w:rsid w:val="00D46954"/>
    <w:rsid w:val="00D51E72"/>
    <w:rsid w:val="00D54DBC"/>
    <w:rsid w:val="00D570F3"/>
    <w:rsid w:val="00D57249"/>
    <w:rsid w:val="00D61C85"/>
    <w:rsid w:val="00D624E5"/>
    <w:rsid w:val="00D634A8"/>
    <w:rsid w:val="00D64C3D"/>
    <w:rsid w:val="00D65A1C"/>
    <w:rsid w:val="00D67099"/>
    <w:rsid w:val="00D71939"/>
    <w:rsid w:val="00D72D27"/>
    <w:rsid w:val="00D732C6"/>
    <w:rsid w:val="00D73317"/>
    <w:rsid w:val="00D743C8"/>
    <w:rsid w:val="00D743DA"/>
    <w:rsid w:val="00D744B5"/>
    <w:rsid w:val="00D745B1"/>
    <w:rsid w:val="00D753F3"/>
    <w:rsid w:val="00D865D8"/>
    <w:rsid w:val="00D9045B"/>
    <w:rsid w:val="00D90EA9"/>
    <w:rsid w:val="00D90F77"/>
    <w:rsid w:val="00D941C3"/>
    <w:rsid w:val="00D94A99"/>
    <w:rsid w:val="00D95324"/>
    <w:rsid w:val="00DA0390"/>
    <w:rsid w:val="00DA1940"/>
    <w:rsid w:val="00DA3C3C"/>
    <w:rsid w:val="00DA612F"/>
    <w:rsid w:val="00DB05EC"/>
    <w:rsid w:val="00DB166E"/>
    <w:rsid w:val="00DB3D8C"/>
    <w:rsid w:val="00DB3F2B"/>
    <w:rsid w:val="00DB43B8"/>
    <w:rsid w:val="00DB7BD1"/>
    <w:rsid w:val="00DB7C8A"/>
    <w:rsid w:val="00DB7F63"/>
    <w:rsid w:val="00DC2DC5"/>
    <w:rsid w:val="00DC6E63"/>
    <w:rsid w:val="00DD11E8"/>
    <w:rsid w:val="00DD35E7"/>
    <w:rsid w:val="00DD5486"/>
    <w:rsid w:val="00DD650E"/>
    <w:rsid w:val="00DD697A"/>
    <w:rsid w:val="00DD7968"/>
    <w:rsid w:val="00DE0B7E"/>
    <w:rsid w:val="00DE1418"/>
    <w:rsid w:val="00DE2205"/>
    <w:rsid w:val="00DE421E"/>
    <w:rsid w:val="00DE5454"/>
    <w:rsid w:val="00DE7ADC"/>
    <w:rsid w:val="00DE7B27"/>
    <w:rsid w:val="00DE7F41"/>
    <w:rsid w:val="00DF023B"/>
    <w:rsid w:val="00DF0F50"/>
    <w:rsid w:val="00DF22F6"/>
    <w:rsid w:val="00DF2309"/>
    <w:rsid w:val="00DF28DC"/>
    <w:rsid w:val="00DF3915"/>
    <w:rsid w:val="00DF44AC"/>
    <w:rsid w:val="00DF4CE2"/>
    <w:rsid w:val="00E0168F"/>
    <w:rsid w:val="00E0169D"/>
    <w:rsid w:val="00E12071"/>
    <w:rsid w:val="00E12660"/>
    <w:rsid w:val="00E12838"/>
    <w:rsid w:val="00E150EE"/>
    <w:rsid w:val="00E15BBF"/>
    <w:rsid w:val="00E15ECD"/>
    <w:rsid w:val="00E1645E"/>
    <w:rsid w:val="00E22D12"/>
    <w:rsid w:val="00E23F00"/>
    <w:rsid w:val="00E26A0F"/>
    <w:rsid w:val="00E27542"/>
    <w:rsid w:val="00E277B3"/>
    <w:rsid w:val="00E318D4"/>
    <w:rsid w:val="00E339EE"/>
    <w:rsid w:val="00E3557A"/>
    <w:rsid w:val="00E37524"/>
    <w:rsid w:val="00E4014C"/>
    <w:rsid w:val="00E401FC"/>
    <w:rsid w:val="00E42D1B"/>
    <w:rsid w:val="00E45579"/>
    <w:rsid w:val="00E466AD"/>
    <w:rsid w:val="00E46FAB"/>
    <w:rsid w:val="00E474DC"/>
    <w:rsid w:val="00E5240D"/>
    <w:rsid w:val="00E55EA9"/>
    <w:rsid w:val="00E56307"/>
    <w:rsid w:val="00E56D55"/>
    <w:rsid w:val="00E56F52"/>
    <w:rsid w:val="00E57F76"/>
    <w:rsid w:val="00E60696"/>
    <w:rsid w:val="00E62028"/>
    <w:rsid w:val="00E6393C"/>
    <w:rsid w:val="00E67E51"/>
    <w:rsid w:val="00E76BE0"/>
    <w:rsid w:val="00E7790B"/>
    <w:rsid w:val="00E81714"/>
    <w:rsid w:val="00E830CB"/>
    <w:rsid w:val="00E83F79"/>
    <w:rsid w:val="00E851F1"/>
    <w:rsid w:val="00E869ED"/>
    <w:rsid w:val="00E873C0"/>
    <w:rsid w:val="00E91546"/>
    <w:rsid w:val="00E91678"/>
    <w:rsid w:val="00E9206E"/>
    <w:rsid w:val="00E92D7B"/>
    <w:rsid w:val="00E93438"/>
    <w:rsid w:val="00E93F64"/>
    <w:rsid w:val="00E946CE"/>
    <w:rsid w:val="00E96737"/>
    <w:rsid w:val="00EA0668"/>
    <w:rsid w:val="00EA1F53"/>
    <w:rsid w:val="00EA20EF"/>
    <w:rsid w:val="00EA4376"/>
    <w:rsid w:val="00EA70DC"/>
    <w:rsid w:val="00EB01FF"/>
    <w:rsid w:val="00EB06C6"/>
    <w:rsid w:val="00EB1B47"/>
    <w:rsid w:val="00EB46E1"/>
    <w:rsid w:val="00EB7BD6"/>
    <w:rsid w:val="00EC0E7E"/>
    <w:rsid w:val="00EC20FD"/>
    <w:rsid w:val="00EC2EF8"/>
    <w:rsid w:val="00EC3DAC"/>
    <w:rsid w:val="00EC42FF"/>
    <w:rsid w:val="00EC50B5"/>
    <w:rsid w:val="00EC5A73"/>
    <w:rsid w:val="00ED2403"/>
    <w:rsid w:val="00ED26B3"/>
    <w:rsid w:val="00ED3B7C"/>
    <w:rsid w:val="00ED3D0C"/>
    <w:rsid w:val="00ED4AEF"/>
    <w:rsid w:val="00ED570E"/>
    <w:rsid w:val="00ED5CFE"/>
    <w:rsid w:val="00EE005A"/>
    <w:rsid w:val="00EE05CF"/>
    <w:rsid w:val="00EE10AE"/>
    <w:rsid w:val="00EE2DA2"/>
    <w:rsid w:val="00EE4290"/>
    <w:rsid w:val="00EE589E"/>
    <w:rsid w:val="00EE5A23"/>
    <w:rsid w:val="00EE76D0"/>
    <w:rsid w:val="00EF1185"/>
    <w:rsid w:val="00EF4996"/>
    <w:rsid w:val="00EF754D"/>
    <w:rsid w:val="00F027E9"/>
    <w:rsid w:val="00F0775E"/>
    <w:rsid w:val="00F1011B"/>
    <w:rsid w:val="00F11E69"/>
    <w:rsid w:val="00F15F69"/>
    <w:rsid w:val="00F1612D"/>
    <w:rsid w:val="00F173DD"/>
    <w:rsid w:val="00F21119"/>
    <w:rsid w:val="00F22744"/>
    <w:rsid w:val="00F25164"/>
    <w:rsid w:val="00F277D3"/>
    <w:rsid w:val="00F30997"/>
    <w:rsid w:val="00F32896"/>
    <w:rsid w:val="00F41AE7"/>
    <w:rsid w:val="00F41F44"/>
    <w:rsid w:val="00F42050"/>
    <w:rsid w:val="00F42D17"/>
    <w:rsid w:val="00F457A0"/>
    <w:rsid w:val="00F46492"/>
    <w:rsid w:val="00F477B5"/>
    <w:rsid w:val="00F47B01"/>
    <w:rsid w:val="00F5057E"/>
    <w:rsid w:val="00F53410"/>
    <w:rsid w:val="00F541F8"/>
    <w:rsid w:val="00F5470A"/>
    <w:rsid w:val="00F551E6"/>
    <w:rsid w:val="00F5540C"/>
    <w:rsid w:val="00F5563D"/>
    <w:rsid w:val="00F56891"/>
    <w:rsid w:val="00F63345"/>
    <w:rsid w:val="00F63E20"/>
    <w:rsid w:val="00F64CD4"/>
    <w:rsid w:val="00F650D2"/>
    <w:rsid w:val="00F65AB2"/>
    <w:rsid w:val="00F73E78"/>
    <w:rsid w:val="00F740C2"/>
    <w:rsid w:val="00F7591E"/>
    <w:rsid w:val="00F75EF9"/>
    <w:rsid w:val="00F77A9B"/>
    <w:rsid w:val="00F83035"/>
    <w:rsid w:val="00F866B0"/>
    <w:rsid w:val="00F869EF"/>
    <w:rsid w:val="00F86BE4"/>
    <w:rsid w:val="00F86C7B"/>
    <w:rsid w:val="00F86D61"/>
    <w:rsid w:val="00F8760C"/>
    <w:rsid w:val="00F905B6"/>
    <w:rsid w:val="00F90B31"/>
    <w:rsid w:val="00F914B2"/>
    <w:rsid w:val="00F926B9"/>
    <w:rsid w:val="00F93160"/>
    <w:rsid w:val="00F9541D"/>
    <w:rsid w:val="00F96DEB"/>
    <w:rsid w:val="00F97A43"/>
    <w:rsid w:val="00FA0403"/>
    <w:rsid w:val="00FA597D"/>
    <w:rsid w:val="00FA5B9A"/>
    <w:rsid w:val="00FB01B9"/>
    <w:rsid w:val="00FB5D9E"/>
    <w:rsid w:val="00FB763A"/>
    <w:rsid w:val="00FB79C0"/>
    <w:rsid w:val="00FC2EB8"/>
    <w:rsid w:val="00FC5C43"/>
    <w:rsid w:val="00FC7927"/>
    <w:rsid w:val="00FD1598"/>
    <w:rsid w:val="00FD1AD5"/>
    <w:rsid w:val="00FD3100"/>
    <w:rsid w:val="00FD576E"/>
    <w:rsid w:val="00FD596B"/>
    <w:rsid w:val="00FD5E90"/>
    <w:rsid w:val="00FE0F98"/>
    <w:rsid w:val="00FE58CC"/>
    <w:rsid w:val="00FE67C1"/>
    <w:rsid w:val="00FE75A9"/>
    <w:rsid w:val="00FF0318"/>
    <w:rsid w:val="00FF058D"/>
    <w:rsid w:val="00FF0A50"/>
    <w:rsid w:val="00FF1D8E"/>
    <w:rsid w:val="00FF2276"/>
    <w:rsid w:val="00FF2440"/>
    <w:rsid w:val="00FF322C"/>
    <w:rsid w:val="00FF5EE0"/>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2AB559"/>
  <w15:chartTrackingRefBased/>
  <w15:docId w15:val="{BCA790A3-D209-4E92-9C6D-69E09C0D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rPr>
      <w:lang w:val="en-US" w:eastAsia="en-US"/>
    </w:rPr>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link w:val="Heading2Char"/>
    <w:uiPriority w:val="99"/>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link w:val="BodyTextChar"/>
    <w:uiPriority w:val="99"/>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uiPriority w:val="99"/>
    <w:semiHidden/>
    <w:rsid w:val="00FA0403"/>
    <w:rPr>
      <w:vertAlign w:val="superscript"/>
    </w:rPr>
  </w:style>
  <w:style w:type="paragraph" w:styleId="FootnoteText">
    <w:name w:val="footnote text"/>
    <w:basedOn w:val="Normal"/>
    <w:link w:val="FootnoteTextChar"/>
    <w:uiPriority w:val="99"/>
    <w:rsid w:val="00FA0403"/>
    <w:rPr>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val="en-US" w:eastAsia="en-US"/>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lang w:val="en-US" w:eastAsia="en-US"/>
    </w:rPr>
  </w:style>
  <w:style w:type="paragraph" w:customStyle="1" w:styleId="Affiliation">
    <w:name w:val="Affiliation"/>
    <w:rsid w:val="007017C6"/>
    <w:pPr>
      <w:jc w:val="center"/>
    </w:pPr>
    <w:rPr>
      <w:rFonts w:eastAsia="SimSun"/>
      <w:lang w:val="en-US" w:eastAsia="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val="en-US" w:eastAsia="en-US"/>
    </w:rPr>
  </w:style>
  <w:style w:type="paragraph" w:customStyle="1" w:styleId="papertitle">
    <w:name w:val="paper title"/>
    <w:rsid w:val="007017C6"/>
    <w:pPr>
      <w:spacing w:after="120"/>
      <w:jc w:val="center"/>
    </w:pPr>
    <w:rPr>
      <w:rFonts w:eastAsia="SimSun"/>
      <w:sz w:val="48"/>
      <w:lang w:val="en-US" w:eastAsia="en-US"/>
    </w:rPr>
  </w:style>
  <w:style w:type="paragraph" w:customStyle="1" w:styleId="references">
    <w:name w:val="references"/>
    <w:rsid w:val="007017C6"/>
    <w:pPr>
      <w:numPr>
        <w:numId w:val="2"/>
      </w:numPr>
      <w:spacing w:after="40" w:line="180" w:lineRule="exact"/>
      <w:jc w:val="both"/>
    </w:pPr>
    <w:rPr>
      <w:rFonts w:eastAsia="SimSun"/>
      <w:sz w:val="16"/>
      <w:lang w:val="en-US" w:eastAsia="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uiPriority w:val="99"/>
    <w:rsid w:val="007017C6"/>
    <w:pPr>
      <w:jc w:val="both"/>
    </w:pPr>
    <w:rPr>
      <w:rFonts w:eastAsia="SimSun"/>
      <w:sz w:val="16"/>
      <w:lang w:val="en-US" w:eastAsia="en-US"/>
    </w:rPr>
  </w:style>
  <w:style w:type="paragraph" w:customStyle="1" w:styleId="tablehead">
    <w:name w:val="table head"/>
    <w:uiPriority w:val="99"/>
    <w:rsid w:val="007017C6"/>
    <w:pPr>
      <w:numPr>
        <w:numId w:val="3"/>
      </w:numPr>
      <w:spacing w:before="240" w:after="120" w:line="216" w:lineRule="auto"/>
      <w:jc w:val="center"/>
    </w:pPr>
    <w:rPr>
      <w:rFonts w:eastAsia="SimSun"/>
      <w:smallCaps/>
      <w:sz w:val="16"/>
      <w:lang w:val="en-US" w:eastAsia="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link w:val="ListParagraphChar"/>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lang w:val="en-US" w:eastAsia="en-US"/>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styleId="FollowedHyperlink">
    <w:name w:val="FollowedHyperlink"/>
    <w:uiPriority w:val="99"/>
    <w:semiHidden/>
    <w:unhideWhenUsed/>
    <w:rsid w:val="00D02991"/>
    <w:rPr>
      <w:color w:val="800080"/>
      <w:u w:val="single"/>
    </w:rPr>
  </w:style>
  <w:style w:type="character" w:styleId="CommentReference">
    <w:name w:val="annotation reference"/>
    <w:uiPriority w:val="99"/>
    <w:semiHidden/>
    <w:unhideWhenUsed/>
    <w:rsid w:val="002E7D48"/>
    <w:rPr>
      <w:sz w:val="16"/>
      <w:szCs w:val="16"/>
    </w:rPr>
  </w:style>
  <w:style w:type="paragraph" w:styleId="CommentText">
    <w:name w:val="annotation text"/>
    <w:basedOn w:val="Normal"/>
    <w:link w:val="CommentTextChar"/>
    <w:uiPriority w:val="99"/>
    <w:semiHidden/>
    <w:unhideWhenUsed/>
    <w:rsid w:val="002E7D48"/>
  </w:style>
  <w:style w:type="character" w:customStyle="1" w:styleId="CommentTextChar">
    <w:name w:val="Comment Text Char"/>
    <w:link w:val="CommentText"/>
    <w:uiPriority w:val="99"/>
    <w:semiHidden/>
    <w:rsid w:val="002E7D48"/>
    <w:rPr>
      <w:lang w:val="en-US" w:eastAsia="en-US"/>
    </w:rPr>
  </w:style>
  <w:style w:type="paragraph" w:styleId="CommentSubject">
    <w:name w:val="annotation subject"/>
    <w:basedOn w:val="CommentText"/>
    <w:next w:val="CommentText"/>
    <w:link w:val="CommentSubjectChar"/>
    <w:uiPriority w:val="99"/>
    <w:semiHidden/>
    <w:unhideWhenUsed/>
    <w:rsid w:val="002E7D48"/>
    <w:rPr>
      <w:b/>
      <w:bCs/>
    </w:rPr>
  </w:style>
  <w:style w:type="character" w:customStyle="1" w:styleId="CommentSubjectChar">
    <w:name w:val="Comment Subject Char"/>
    <w:link w:val="CommentSubject"/>
    <w:uiPriority w:val="99"/>
    <w:semiHidden/>
    <w:rsid w:val="002E7D48"/>
    <w:rPr>
      <w:b/>
      <w:bCs/>
      <w:lang w:val="en-US" w:eastAsia="en-US"/>
    </w:rPr>
  </w:style>
  <w:style w:type="character" w:customStyle="1" w:styleId="FootnoteTextChar">
    <w:name w:val="Footnote Text Char"/>
    <w:link w:val="FootnoteText"/>
    <w:uiPriority w:val="99"/>
    <w:rsid w:val="00A511E6"/>
    <w:rPr>
      <w:rFonts w:cs="Traditional Arabic"/>
      <w:lang w:val="en-US" w:eastAsia="ko-KR"/>
    </w:rPr>
  </w:style>
  <w:style w:type="character" w:customStyle="1" w:styleId="FooterChar">
    <w:name w:val="Footer Char"/>
    <w:link w:val="Footer"/>
    <w:uiPriority w:val="99"/>
    <w:rsid w:val="007306AF"/>
    <w:rPr>
      <w:lang w:val="en-US" w:eastAsia="en-US"/>
    </w:rPr>
  </w:style>
  <w:style w:type="character" w:customStyle="1" w:styleId="HeaderChar">
    <w:name w:val="Header Char"/>
    <w:link w:val="Header"/>
    <w:uiPriority w:val="99"/>
    <w:rsid w:val="00EA20EF"/>
    <w:rPr>
      <w:lang w:val="en-US" w:eastAsia="en-US"/>
    </w:rPr>
  </w:style>
  <w:style w:type="character" w:styleId="UnresolvedMention">
    <w:name w:val="Unresolved Mention"/>
    <w:uiPriority w:val="99"/>
    <w:semiHidden/>
    <w:unhideWhenUsed/>
    <w:rsid w:val="007637F6"/>
    <w:rPr>
      <w:color w:val="808080"/>
      <w:shd w:val="clear" w:color="auto" w:fill="E6E6E6"/>
    </w:rPr>
  </w:style>
  <w:style w:type="character" w:customStyle="1" w:styleId="Heading2Char">
    <w:name w:val="Heading 2 Char"/>
    <w:link w:val="Heading2"/>
    <w:uiPriority w:val="99"/>
    <w:rsid w:val="00B56D4F"/>
    <w:rPr>
      <w:rFonts w:ascii="Arial" w:hAnsi="Arial" w:cs="Arial"/>
      <w:b/>
      <w:bCs/>
      <w:i/>
      <w:iCs/>
      <w:sz w:val="28"/>
      <w:szCs w:val="28"/>
      <w:lang w:val="en-US" w:eastAsia="en-US"/>
    </w:rPr>
  </w:style>
  <w:style w:type="character" w:customStyle="1" w:styleId="BodyTextChar">
    <w:name w:val="Body Text Char"/>
    <w:link w:val="BodyText"/>
    <w:uiPriority w:val="99"/>
    <w:rsid w:val="00B56D4F"/>
  </w:style>
  <w:style w:type="paragraph" w:customStyle="1" w:styleId="bulletlist">
    <w:name w:val="bullet list"/>
    <w:basedOn w:val="BodyText"/>
    <w:rsid w:val="00B56D4F"/>
    <w:pPr>
      <w:numPr>
        <w:numId w:val="42"/>
      </w:numPr>
      <w:tabs>
        <w:tab w:val="clear" w:pos="648"/>
        <w:tab w:val="left" w:pos="288"/>
      </w:tabs>
      <w:spacing w:line="228" w:lineRule="auto"/>
      <w:ind w:left="576" w:hanging="288"/>
      <w:jc w:val="both"/>
    </w:pPr>
    <w:rPr>
      <w:rFonts w:ascii="Palatino Linotype" w:eastAsia="MS Mincho" w:hAnsi="Palatino Linotype"/>
      <w:spacing w:val="-1"/>
      <w:sz w:val="22"/>
      <w:lang w:val="en-US" w:eastAsia="en-US"/>
    </w:rPr>
  </w:style>
  <w:style w:type="paragraph" w:customStyle="1" w:styleId="tablecolhead">
    <w:name w:val="table col head"/>
    <w:basedOn w:val="Normal"/>
    <w:uiPriority w:val="99"/>
    <w:rsid w:val="00B56D4F"/>
    <w:pPr>
      <w:jc w:val="center"/>
    </w:pPr>
    <w:rPr>
      <w:rFonts w:ascii="Junicode" w:eastAsia="Times New Roman" w:hAnsi="Junicode"/>
      <w:b/>
      <w:bCs/>
      <w:szCs w:val="16"/>
    </w:rPr>
  </w:style>
  <w:style w:type="numbering" w:customStyle="1" w:styleId="Style1">
    <w:name w:val="Style1"/>
    <w:uiPriority w:val="99"/>
    <w:rsid w:val="00B56D4F"/>
    <w:pPr>
      <w:numPr>
        <w:numId w:val="44"/>
      </w:numPr>
    </w:pPr>
  </w:style>
  <w:style w:type="character" w:customStyle="1" w:styleId="ListParagraphChar">
    <w:name w:val="List Paragraph Char"/>
    <w:basedOn w:val="DefaultParagraphFont"/>
    <w:link w:val="ListParagraph"/>
    <w:uiPriority w:val="34"/>
    <w:locked/>
    <w:rsid w:val="002C1BA2"/>
    <w:rPr>
      <w:rFonts w:ascii="Calibri" w:hAnsi="Calibri"/>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417484502">
      <w:bodyDiv w:val="1"/>
      <w:marLeft w:val="0"/>
      <w:marRight w:val="0"/>
      <w:marTop w:val="0"/>
      <w:marBottom w:val="0"/>
      <w:divBdr>
        <w:top w:val="none" w:sz="0" w:space="0" w:color="auto"/>
        <w:left w:val="none" w:sz="0" w:space="0" w:color="auto"/>
        <w:bottom w:val="none" w:sz="0" w:space="0" w:color="auto"/>
        <w:right w:val="none" w:sz="0" w:space="0" w:color="auto"/>
      </w:divBdr>
      <w:divsChild>
        <w:div w:id="231425135">
          <w:marLeft w:val="0"/>
          <w:marRight w:val="0"/>
          <w:marTop w:val="0"/>
          <w:marBottom w:val="0"/>
          <w:divBdr>
            <w:top w:val="none" w:sz="0" w:space="0" w:color="auto"/>
            <w:left w:val="none" w:sz="0" w:space="0" w:color="auto"/>
            <w:bottom w:val="none" w:sz="0" w:space="0" w:color="auto"/>
            <w:right w:val="none" w:sz="0" w:space="0" w:color="auto"/>
          </w:divBdr>
        </w:div>
        <w:div w:id="407311407">
          <w:marLeft w:val="0"/>
          <w:marRight w:val="0"/>
          <w:marTop w:val="0"/>
          <w:marBottom w:val="0"/>
          <w:divBdr>
            <w:top w:val="none" w:sz="0" w:space="0" w:color="auto"/>
            <w:left w:val="none" w:sz="0" w:space="0" w:color="auto"/>
            <w:bottom w:val="none" w:sz="0" w:space="0" w:color="auto"/>
            <w:right w:val="none" w:sz="0" w:space="0" w:color="auto"/>
          </w:divBdr>
        </w:div>
        <w:div w:id="868176293">
          <w:marLeft w:val="0"/>
          <w:marRight w:val="0"/>
          <w:marTop w:val="0"/>
          <w:marBottom w:val="0"/>
          <w:divBdr>
            <w:top w:val="none" w:sz="0" w:space="0" w:color="auto"/>
            <w:left w:val="none" w:sz="0" w:space="0" w:color="auto"/>
            <w:bottom w:val="none" w:sz="0" w:space="0" w:color="auto"/>
            <w:right w:val="none" w:sz="0" w:space="0" w:color="auto"/>
          </w:divBdr>
        </w:div>
        <w:div w:id="1378123399">
          <w:marLeft w:val="0"/>
          <w:marRight w:val="0"/>
          <w:marTop w:val="0"/>
          <w:marBottom w:val="0"/>
          <w:divBdr>
            <w:top w:val="none" w:sz="0" w:space="0" w:color="auto"/>
            <w:left w:val="none" w:sz="0" w:space="0" w:color="auto"/>
            <w:bottom w:val="none" w:sz="0" w:space="0" w:color="auto"/>
            <w:right w:val="none" w:sz="0" w:space="0" w:color="auto"/>
          </w:divBdr>
        </w:div>
        <w:div w:id="1500196427">
          <w:marLeft w:val="0"/>
          <w:marRight w:val="0"/>
          <w:marTop w:val="0"/>
          <w:marBottom w:val="0"/>
          <w:divBdr>
            <w:top w:val="none" w:sz="0" w:space="0" w:color="auto"/>
            <w:left w:val="none" w:sz="0" w:space="0" w:color="auto"/>
            <w:bottom w:val="none" w:sz="0" w:space="0" w:color="auto"/>
            <w:right w:val="none" w:sz="0" w:space="0" w:color="auto"/>
          </w:divBdr>
        </w:div>
        <w:div w:id="1864778892">
          <w:marLeft w:val="0"/>
          <w:marRight w:val="0"/>
          <w:marTop w:val="0"/>
          <w:marBottom w:val="0"/>
          <w:divBdr>
            <w:top w:val="none" w:sz="0" w:space="0" w:color="auto"/>
            <w:left w:val="none" w:sz="0" w:space="0" w:color="auto"/>
            <w:bottom w:val="none" w:sz="0" w:space="0" w:color="auto"/>
            <w:right w:val="none" w:sz="0" w:space="0" w:color="auto"/>
          </w:divBdr>
        </w:div>
      </w:divsChild>
    </w:div>
    <w:div w:id="1634942897">
      <w:bodyDiv w:val="1"/>
      <w:marLeft w:val="0"/>
      <w:marRight w:val="0"/>
      <w:marTop w:val="0"/>
      <w:marBottom w:val="0"/>
      <w:divBdr>
        <w:top w:val="none" w:sz="0" w:space="0" w:color="auto"/>
        <w:left w:val="none" w:sz="0" w:space="0" w:color="auto"/>
        <w:bottom w:val="none" w:sz="0" w:space="0" w:color="auto"/>
        <w:right w:val="none" w:sz="0" w:space="0" w:color="auto"/>
      </w:divBdr>
      <w:divsChild>
        <w:div w:id="132139022">
          <w:marLeft w:val="0"/>
          <w:marRight w:val="0"/>
          <w:marTop w:val="0"/>
          <w:marBottom w:val="0"/>
          <w:divBdr>
            <w:top w:val="none" w:sz="0" w:space="0" w:color="auto"/>
            <w:left w:val="none" w:sz="0" w:space="0" w:color="auto"/>
            <w:bottom w:val="none" w:sz="0" w:space="0" w:color="auto"/>
            <w:right w:val="none" w:sz="0" w:space="0" w:color="auto"/>
          </w:divBdr>
        </w:div>
        <w:div w:id="1574513409">
          <w:marLeft w:val="0"/>
          <w:marRight w:val="0"/>
          <w:marTop w:val="0"/>
          <w:marBottom w:val="0"/>
          <w:divBdr>
            <w:top w:val="none" w:sz="0" w:space="0" w:color="auto"/>
            <w:left w:val="none" w:sz="0" w:space="0" w:color="auto"/>
            <w:bottom w:val="none" w:sz="0" w:space="0" w:color="auto"/>
            <w:right w:val="none" w:sz="0" w:space="0" w:color="auto"/>
          </w:divBdr>
        </w:div>
      </w:divsChild>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867327353">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BAY\Downloads\Template%20Jurnal%20JMHU%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057C57-21B7-4437-929A-8D0A79D28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Jurnal JMHU NEW</Template>
  <TotalTime>2</TotalTime>
  <Pages>20</Pages>
  <Words>7957</Words>
  <Characters>60691</Characters>
  <Application>Microsoft Office Word</Application>
  <DocSecurity>0</DocSecurity>
  <Lines>505</Lines>
  <Paragraphs>137</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IndoCEISS</Company>
  <LinksUpToDate>false</LinksUpToDate>
  <CharactersWithSpaces>68511</CharactersWithSpaces>
  <SharedDoc>false</SharedDoc>
  <HLinks>
    <vt:vector size="30" baseType="variant">
      <vt:variant>
        <vt:i4>1900562</vt:i4>
      </vt:variant>
      <vt:variant>
        <vt:i4>9</vt:i4>
      </vt:variant>
      <vt:variant>
        <vt:i4>0</vt:i4>
      </vt:variant>
      <vt:variant>
        <vt:i4>5</vt:i4>
      </vt:variant>
      <vt:variant>
        <vt:lpwstr>https://www.wto.org/english/thewto_e/whatis_e/tif_e/agrm7_e.htm</vt:lpwstr>
      </vt:variant>
      <vt:variant>
        <vt:lpwstr/>
      </vt:variant>
      <vt:variant>
        <vt:i4>4653130</vt:i4>
      </vt:variant>
      <vt:variant>
        <vt:i4>6</vt:i4>
      </vt:variant>
      <vt:variant>
        <vt:i4>0</vt:i4>
      </vt:variant>
      <vt:variant>
        <vt:i4>5</vt:i4>
      </vt:variant>
      <vt:variant>
        <vt:lpwstr>https://www.un.org/ruleoflaw/thematic-areas/land-property-environment/environmental-law/</vt:lpwstr>
      </vt:variant>
      <vt:variant>
        <vt:lpwstr/>
      </vt:variant>
      <vt:variant>
        <vt:i4>8257603</vt:i4>
      </vt:variant>
      <vt:variant>
        <vt:i4>3</vt:i4>
      </vt:variant>
      <vt:variant>
        <vt:i4>0</vt:i4>
      </vt:variant>
      <vt:variant>
        <vt:i4>5</vt:i4>
      </vt:variant>
      <vt:variant>
        <vt:lpwstr>mailto:aguskurniawan2015@gmail.com</vt:lpwstr>
      </vt:variant>
      <vt:variant>
        <vt:lpwstr/>
      </vt:variant>
      <vt:variant>
        <vt:i4>7471185</vt:i4>
      </vt:variant>
      <vt:variant>
        <vt:i4>0</vt:i4>
      </vt:variant>
      <vt:variant>
        <vt:i4>0</vt:i4>
      </vt:variant>
      <vt:variant>
        <vt:i4>5</vt:i4>
      </vt:variant>
      <vt:variant>
        <vt:lpwstr>mailto:arassamsitha@yahoo.com</vt:lpwstr>
      </vt:variant>
      <vt:variant>
        <vt:lpwstr/>
      </vt:variant>
      <vt:variant>
        <vt:i4>1900562</vt:i4>
      </vt:variant>
      <vt:variant>
        <vt:i4>0</vt:i4>
      </vt:variant>
      <vt:variant>
        <vt:i4>0</vt:i4>
      </vt:variant>
      <vt:variant>
        <vt:i4>5</vt:i4>
      </vt:variant>
      <vt:variant>
        <vt:lpwstr>https://www.wto.org/english/thewto_e/whatis_e/tif_e/agrm7_e.htm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subject/>
  <dc:creator>UBAY</dc:creator>
  <cp:keywords/>
  <cp:lastModifiedBy>mcnxcv172423510@outlook.com</cp:lastModifiedBy>
  <cp:revision>2</cp:revision>
  <cp:lastPrinted>2016-10-04T09:41:00Z</cp:lastPrinted>
  <dcterms:created xsi:type="dcterms:W3CDTF">2022-12-24T00:40:00Z</dcterms:created>
  <dcterms:modified xsi:type="dcterms:W3CDTF">2022-12-24T00:40:00Z</dcterms:modified>
</cp:coreProperties>
</file>